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both"/>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color w:val="000000"/>
          <w:sz w:val="28"/>
          <w:szCs w:val="28"/>
          <w:rtl w:val="0"/>
        </w:rPr>
        <w:t xml:space="preserve">Procedimiento para balances de carga y capacidad del personal docente en la Universidad de Holguín</w:t>
      </w:r>
    </w:p>
    <w:p w:rsidR="00000000" w:rsidDel="00000000" w:rsidP="00000000" w:rsidRDefault="00000000" w:rsidRPr="00000000" w14:paraId="00000002">
      <w:pPr>
        <w:spacing w:after="60" w:line="240" w:lineRule="auto"/>
        <w:jc w:val="both"/>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sz w:val="28"/>
          <w:szCs w:val="28"/>
          <w:rtl w:val="0"/>
        </w:rPr>
        <w:t xml:space="preserve">Procedure for load and capacity balances of the teaching staff at the University of Holguin</w:t>
      </w:r>
      <w:r w:rsidDel="00000000" w:rsidR="00000000" w:rsidRPr="00000000">
        <w:rPr>
          <w:rtl w:val="0"/>
        </w:rPr>
      </w:r>
    </w:p>
    <w:p w:rsidR="00000000" w:rsidDel="00000000" w:rsidP="00000000" w:rsidRDefault="00000000" w:rsidRPr="00000000" w14:paraId="00000003">
      <w:pPr>
        <w:spacing w:after="60" w:line="240" w:lineRule="auto"/>
        <w:jc w:val="both"/>
        <w:rPr>
          <w:rFonts w:ascii="Times New Roman" w:cs="Times New Roman" w:eastAsia="Times New Roman" w:hAnsi="Times New Roman"/>
          <w:b w:val="1"/>
          <w:i w:val="1"/>
          <w:color w:val="000000"/>
          <w:sz w:val="28"/>
          <w:szCs w:val="28"/>
        </w:rPr>
      </w:pPr>
      <w:r w:rsidDel="00000000" w:rsidR="00000000" w:rsidRPr="00000000">
        <w:rPr>
          <w:rFonts w:ascii="Times New Roman" w:cs="Times New Roman" w:eastAsia="Times New Roman" w:hAnsi="Times New Roman"/>
          <w:b w:val="1"/>
          <w:i w:val="1"/>
          <w:sz w:val="28"/>
          <w:szCs w:val="28"/>
          <w:rtl w:val="0"/>
        </w:rPr>
        <w:t xml:space="preserve">Procedimento para balanços de carga e capacidade do corpo docente da Universidade de Holguín</w:t>
      </w:r>
      <w:r w:rsidDel="00000000" w:rsidR="00000000" w:rsidRPr="00000000">
        <w:rPr>
          <w:rtl w:val="0"/>
        </w:rPr>
      </w:r>
    </w:p>
    <w:p w:rsidR="00000000" w:rsidDel="00000000" w:rsidP="00000000" w:rsidRDefault="00000000" w:rsidRPr="00000000" w14:paraId="00000004">
      <w:pPr>
        <w:spacing w:after="6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vertAlign w:val="superscript"/>
          <w:rtl w:val="0"/>
        </w:rPr>
        <w:t xml:space="preserve">1 </w:t>
      </w:r>
      <w:r w:rsidDel="00000000" w:rsidR="00000000" w:rsidRPr="00000000">
        <w:rPr>
          <w:rFonts w:ascii="Times New Roman" w:cs="Times New Roman" w:eastAsia="Times New Roman" w:hAnsi="Times New Roman"/>
          <w:color w:val="000000"/>
          <w:rtl w:val="0"/>
        </w:rPr>
        <w:t xml:space="preserve">Carlos Rafael Nuñez Cruz*</w:t>
      </w:r>
    </w:p>
    <w:p w:rsidR="00000000" w:rsidDel="00000000" w:rsidP="00000000" w:rsidRDefault="00000000" w:rsidRPr="00000000" w14:paraId="00000005">
      <w:pPr>
        <w:spacing w:after="6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vertAlign w:val="superscript"/>
          <w:rtl w:val="0"/>
        </w:rPr>
        <w:t xml:space="preserve">2</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Marisol Pérez Campaña</w:t>
      </w:r>
    </w:p>
    <w:p w:rsidR="00000000" w:rsidDel="00000000" w:rsidP="00000000" w:rsidRDefault="00000000" w:rsidRPr="00000000" w14:paraId="00000006">
      <w:pPr>
        <w:spacing w:after="6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vertAlign w:val="superscript"/>
          <w:rtl w:val="0"/>
        </w:rPr>
        <w:t xml:space="preserve">3 </w:t>
      </w:r>
      <w:r w:rsidDel="00000000" w:rsidR="00000000" w:rsidRPr="00000000">
        <w:rPr>
          <w:rFonts w:ascii="Times New Roman" w:cs="Times New Roman" w:eastAsia="Times New Roman" w:hAnsi="Times New Roman"/>
          <w:color w:val="000000"/>
          <w:rtl w:val="0"/>
        </w:rPr>
        <w:t xml:space="preserve">Carlos Rafael Nuñez Peña</w:t>
      </w:r>
    </w:p>
    <w:p w:rsidR="00000000" w:rsidDel="00000000" w:rsidP="00000000" w:rsidRDefault="00000000" w:rsidRPr="00000000" w14:paraId="00000007">
      <w:pPr>
        <w:spacing w:after="60" w:line="240" w:lineRule="auto"/>
        <w:jc w:val="both"/>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vertAlign w:val="superscript"/>
          <w:rtl w:val="0"/>
        </w:rPr>
        <w:t xml:space="preserve">4</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color w:val="000000"/>
          <w:rtl w:val="0"/>
        </w:rPr>
        <w:t xml:space="preserve">Alejandro David Tamayo De la Rosa </w:t>
      </w:r>
    </w:p>
    <w:p w:rsidR="00000000" w:rsidDel="00000000" w:rsidP="00000000" w:rsidRDefault="00000000" w:rsidRPr="00000000" w14:paraId="00000008">
      <w:pPr>
        <w:spacing w:after="60" w:line="240" w:lineRule="auto"/>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vertAlign w:val="superscript"/>
          <w:rtl w:val="0"/>
        </w:rPr>
        <w:t xml:space="preserve">1 </w:t>
      </w:r>
      <w:r w:rsidDel="00000000" w:rsidR="00000000" w:rsidRPr="00000000">
        <w:rPr>
          <w:rFonts w:ascii="Times New Roman" w:cs="Times New Roman" w:eastAsia="Times New Roman" w:hAnsi="Times New Roman"/>
          <w:color w:val="000000"/>
          <w:sz w:val="18"/>
          <w:szCs w:val="18"/>
          <w:rtl w:val="0"/>
        </w:rPr>
        <w:t xml:space="preserve">Universidad de Holguín, Cuba. ORCID:</w:t>
      </w:r>
      <w:r w:rsidDel="00000000" w:rsidR="00000000" w:rsidRPr="00000000">
        <w:rPr>
          <w:rFonts w:ascii="Times New Roman" w:cs="Times New Roman" w:eastAsia="Times New Roman" w:hAnsi="Times New Roman"/>
          <w:color w:val="0000ff"/>
          <w:sz w:val="18"/>
          <w:szCs w:val="18"/>
          <w:rtl w:val="0"/>
        </w:rPr>
        <w:t xml:space="preserve"> </w:t>
      </w:r>
      <w:hyperlink r:id="rId6">
        <w:r w:rsidDel="00000000" w:rsidR="00000000" w:rsidRPr="00000000">
          <w:rPr>
            <w:rFonts w:ascii="Times New Roman" w:cs="Times New Roman" w:eastAsia="Times New Roman" w:hAnsi="Times New Roman"/>
            <w:color w:val="0000ff"/>
            <w:sz w:val="18"/>
            <w:szCs w:val="18"/>
            <w:u w:val="single"/>
            <w:rtl w:val="0"/>
          </w:rPr>
          <w:t xml:space="preserve">https://orcid.org/0000-0002-5170-0969</w:t>
        </w:r>
      </w:hyperlink>
      <w:r w:rsidDel="00000000" w:rsidR="00000000" w:rsidRPr="00000000">
        <w:rPr>
          <w:rtl w:val="0"/>
        </w:rPr>
      </w:r>
    </w:p>
    <w:p w:rsidR="00000000" w:rsidDel="00000000" w:rsidP="00000000" w:rsidRDefault="00000000" w:rsidRPr="00000000" w14:paraId="00000009">
      <w:pPr>
        <w:spacing w:after="60" w:line="240" w:lineRule="auto"/>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vertAlign w:val="superscript"/>
          <w:rtl w:val="0"/>
        </w:rPr>
        <w:t xml:space="preserve">2 </w:t>
      </w:r>
      <w:r w:rsidDel="00000000" w:rsidR="00000000" w:rsidRPr="00000000">
        <w:rPr>
          <w:rFonts w:ascii="Times New Roman" w:cs="Times New Roman" w:eastAsia="Times New Roman" w:hAnsi="Times New Roman"/>
          <w:color w:val="000000"/>
          <w:sz w:val="18"/>
          <w:szCs w:val="18"/>
          <w:rtl w:val="0"/>
        </w:rPr>
        <w:t xml:space="preserve">Universidad de Holguín, Cuba. ORCID:</w:t>
      </w:r>
      <w:r w:rsidDel="00000000" w:rsidR="00000000" w:rsidRPr="00000000">
        <w:rPr>
          <w:rFonts w:ascii="Times New Roman" w:cs="Times New Roman" w:eastAsia="Times New Roman" w:hAnsi="Times New Roman"/>
          <w:color w:val="0000ff"/>
          <w:sz w:val="18"/>
          <w:szCs w:val="18"/>
          <w:rtl w:val="0"/>
        </w:rPr>
        <w:t xml:space="preserve"> </w:t>
      </w:r>
      <w:hyperlink r:id="rId7">
        <w:r w:rsidDel="00000000" w:rsidR="00000000" w:rsidRPr="00000000">
          <w:rPr>
            <w:rFonts w:ascii="Times New Roman" w:cs="Times New Roman" w:eastAsia="Times New Roman" w:hAnsi="Times New Roman"/>
            <w:color w:val="0000ff"/>
            <w:sz w:val="18"/>
            <w:szCs w:val="18"/>
            <w:u w:val="single"/>
            <w:rtl w:val="0"/>
          </w:rPr>
          <w:t xml:space="preserve">https://orcid.org/0000-0001-8843-9891</w:t>
        </w:r>
      </w:hyperlink>
      <w:r w:rsidDel="00000000" w:rsidR="00000000" w:rsidRPr="00000000">
        <w:rPr>
          <w:rtl w:val="0"/>
        </w:rPr>
      </w:r>
    </w:p>
    <w:p w:rsidR="00000000" w:rsidDel="00000000" w:rsidP="00000000" w:rsidRDefault="00000000" w:rsidRPr="00000000" w14:paraId="0000000A">
      <w:pPr>
        <w:spacing w:after="60" w:line="240" w:lineRule="auto"/>
        <w:jc w:val="both"/>
        <w:rPr>
          <w:rFonts w:ascii="Times New Roman" w:cs="Times New Roman" w:eastAsia="Times New Roman" w:hAnsi="Times New Roman"/>
          <w:color w:val="0000ff"/>
          <w:sz w:val="18"/>
          <w:szCs w:val="18"/>
        </w:rPr>
      </w:pPr>
      <w:r w:rsidDel="00000000" w:rsidR="00000000" w:rsidRPr="00000000">
        <w:rPr>
          <w:rFonts w:ascii="Times New Roman" w:cs="Times New Roman" w:eastAsia="Times New Roman" w:hAnsi="Times New Roman"/>
          <w:color w:val="000000"/>
          <w:sz w:val="18"/>
          <w:szCs w:val="18"/>
          <w:vertAlign w:val="superscript"/>
          <w:rtl w:val="0"/>
        </w:rPr>
        <w:t xml:space="preserve">3 </w:t>
      </w:r>
      <w:r w:rsidDel="00000000" w:rsidR="00000000" w:rsidRPr="00000000">
        <w:rPr>
          <w:rFonts w:ascii="Times New Roman" w:cs="Times New Roman" w:eastAsia="Times New Roman" w:hAnsi="Times New Roman"/>
          <w:color w:val="000000"/>
          <w:sz w:val="18"/>
          <w:szCs w:val="18"/>
          <w:rtl w:val="0"/>
        </w:rPr>
        <w:t xml:space="preserve">Universidad Laica Eloy Alfaro de Manabí, Ecuador. ORCID:</w:t>
      </w:r>
      <w:r w:rsidDel="00000000" w:rsidR="00000000" w:rsidRPr="00000000">
        <w:rPr>
          <w:rFonts w:ascii="Times New Roman" w:cs="Times New Roman" w:eastAsia="Times New Roman" w:hAnsi="Times New Roman"/>
          <w:color w:val="0000ff"/>
          <w:sz w:val="18"/>
          <w:szCs w:val="18"/>
          <w:rtl w:val="0"/>
        </w:rPr>
        <w:t xml:space="preserve"> </w:t>
      </w:r>
      <w:hyperlink r:id="rId8">
        <w:r w:rsidDel="00000000" w:rsidR="00000000" w:rsidRPr="00000000">
          <w:rPr>
            <w:rFonts w:ascii="Times New Roman" w:cs="Times New Roman" w:eastAsia="Times New Roman" w:hAnsi="Times New Roman"/>
            <w:color w:val="0000ff"/>
            <w:sz w:val="18"/>
            <w:szCs w:val="18"/>
            <w:u w:val="single"/>
            <w:rtl w:val="0"/>
          </w:rPr>
          <w:t xml:space="preserve">https://orcid.org/0000-0003-2436-7977</w:t>
        </w:r>
      </w:hyperlink>
      <w:r w:rsidDel="00000000" w:rsidR="00000000" w:rsidRPr="00000000">
        <w:rPr>
          <w:rtl w:val="0"/>
        </w:rPr>
      </w:r>
    </w:p>
    <w:p w:rsidR="00000000" w:rsidDel="00000000" w:rsidP="00000000" w:rsidRDefault="00000000" w:rsidRPr="00000000" w14:paraId="0000000B">
      <w:pPr>
        <w:spacing w:after="60" w:line="240" w:lineRule="auto"/>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vertAlign w:val="superscript"/>
          <w:rtl w:val="0"/>
        </w:rPr>
        <w:t xml:space="preserve">4 </w:t>
      </w:r>
      <w:r w:rsidDel="00000000" w:rsidR="00000000" w:rsidRPr="00000000">
        <w:rPr>
          <w:rFonts w:ascii="Times New Roman" w:cs="Times New Roman" w:eastAsia="Times New Roman" w:hAnsi="Times New Roman"/>
          <w:color w:val="000000"/>
          <w:sz w:val="18"/>
          <w:szCs w:val="18"/>
          <w:rtl w:val="0"/>
        </w:rPr>
        <w:t xml:space="preserve">Universidad de Ciencias Médicas de Holguín, Cuba. ORCID:</w:t>
      </w:r>
      <w:r w:rsidDel="00000000" w:rsidR="00000000" w:rsidRPr="00000000">
        <w:rPr>
          <w:rFonts w:ascii="Times New Roman" w:cs="Times New Roman" w:eastAsia="Times New Roman" w:hAnsi="Times New Roman"/>
          <w:color w:val="0000ff"/>
          <w:sz w:val="18"/>
          <w:szCs w:val="18"/>
          <w:rtl w:val="0"/>
        </w:rPr>
        <w:t xml:space="preserve"> </w:t>
      </w:r>
      <w:hyperlink r:id="rId9">
        <w:r w:rsidDel="00000000" w:rsidR="00000000" w:rsidRPr="00000000">
          <w:rPr>
            <w:rFonts w:ascii="Times New Roman" w:cs="Times New Roman" w:eastAsia="Times New Roman" w:hAnsi="Times New Roman"/>
            <w:color w:val="0000ff"/>
            <w:sz w:val="18"/>
            <w:szCs w:val="18"/>
            <w:u w:val="single"/>
            <w:rtl w:val="0"/>
          </w:rPr>
          <w:t xml:space="preserve">https://orcid.org/</w:t>
        </w:r>
      </w:hyperlink>
      <w:hyperlink r:id="rId10">
        <w:r w:rsidDel="00000000" w:rsidR="00000000" w:rsidRPr="00000000">
          <w:rPr>
            <w:rFonts w:ascii="Times New Roman" w:cs="Times New Roman" w:eastAsia="Times New Roman" w:hAnsi="Times New Roman"/>
            <w:sz w:val="18"/>
            <w:szCs w:val="18"/>
            <w:rtl w:val="0"/>
          </w:rPr>
          <w:t xml:space="preserve"> </w:t>
        </w:r>
      </w:hyperlink>
      <w:hyperlink r:id="rId11">
        <w:r w:rsidDel="00000000" w:rsidR="00000000" w:rsidRPr="00000000">
          <w:rPr>
            <w:rFonts w:ascii="Times New Roman" w:cs="Times New Roman" w:eastAsia="Times New Roman" w:hAnsi="Times New Roman"/>
            <w:color w:val="0000ff"/>
            <w:sz w:val="18"/>
            <w:szCs w:val="18"/>
            <w:u w:val="single"/>
            <w:rtl w:val="0"/>
          </w:rPr>
          <w:t xml:space="preserve">0000-0002-8185-4002 </w:t>
        </w:r>
      </w:hyperlink>
      <w:r w:rsidDel="00000000" w:rsidR="00000000" w:rsidRPr="00000000">
        <w:rPr>
          <w:rtl w:val="0"/>
        </w:rPr>
      </w:r>
    </w:p>
    <w:p w:rsidR="00000000" w:rsidDel="00000000" w:rsidP="00000000" w:rsidRDefault="00000000" w:rsidRPr="00000000" w14:paraId="0000000C">
      <w:pPr>
        <w:spacing w:after="60" w:line="240" w:lineRule="auto"/>
        <w:jc w:val="both"/>
        <w:rPr>
          <w:rFonts w:ascii="Times New Roman" w:cs="Times New Roman" w:eastAsia="Times New Roman" w:hAnsi="Times New Roman"/>
          <w:color w:val="000000"/>
          <w:sz w:val="18"/>
          <w:szCs w:val="18"/>
        </w:rPr>
      </w:pPr>
      <w:r w:rsidDel="00000000" w:rsidR="00000000" w:rsidRPr="00000000">
        <w:rPr>
          <w:rFonts w:ascii="Times New Roman" w:cs="Times New Roman" w:eastAsia="Times New Roman" w:hAnsi="Times New Roman"/>
          <w:color w:val="000000"/>
          <w:sz w:val="18"/>
          <w:szCs w:val="18"/>
          <w:rtl w:val="0"/>
        </w:rPr>
        <w:t xml:space="preserve">*Autor para la correspondencia: </w:t>
      </w:r>
      <w:hyperlink r:id="rId12">
        <w:r w:rsidDel="00000000" w:rsidR="00000000" w:rsidRPr="00000000">
          <w:rPr>
            <w:rFonts w:ascii="Times New Roman" w:cs="Times New Roman" w:eastAsia="Times New Roman" w:hAnsi="Times New Roman"/>
            <w:color w:val="0000ff"/>
            <w:sz w:val="18"/>
            <w:szCs w:val="18"/>
            <w:u w:val="single"/>
            <w:rtl w:val="0"/>
          </w:rPr>
          <w:t xml:space="preserve">carlos.nunez@uho.edu.cu</w:t>
        </w:r>
      </w:hyperlink>
      <w:r w:rsidDel="00000000" w:rsidR="00000000" w:rsidRPr="00000000">
        <w:rPr>
          <w:rtl w:val="0"/>
        </w:rPr>
      </w:r>
    </w:p>
    <w:p w:rsidR="00000000" w:rsidDel="00000000" w:rsidP="00000000" w:rsidRDefault="00000000" w:rsidRPr="00000000" w14:paraId="0000000D">
      <w:pPr>
        <w:spacing w:after="0" w:line="360" w:lineRule="auto"/>
        <w:jc w:val="both"/>
        <w:rPr>
          <w:rFonts w:ascii="Times New Roman" w:cs="Times New Roman" w:eastAsia="Times New Roman" w:hAnsi="Times New Roman"/>
          <w:b w:val="1"/>
          <w:sz w:val="24"/>
          <w:szCs w:val="24"/>
        </w:rPr>
        <w:sectPr>
          <w:headerReference r:id="rId13" w:type="default"/>
          <w:headerReference r:id="rId14" w:type="first"/>
          <w:footerReference r:id="rId15" w:type="first"/>
          <w:pgSz w:h="15840" w:w="12240" w:orient="portrait"/>
          <w:pgMar w:bottom="1418" w:top="1135" w:left="1418" w:right="1418" w:header="709" w:footer="709"/>
          <w:pgNumType w:start="1"/>
          <w:titlePg w:val="1"/>
        </w:sectPr>
      </w:pPr>
      <w:r w:rsidDel="00000000" w:rsidR="00000000" w:rsidRPr="00000000">
        <w:rPr>
          <w:rtl w:val="0"/>
        </w:rPr>
      </w:r>
    </w:p>
    <w:p w:rsidR="00000000" w:rsidDel="00000000" w:rsidP="00000000" w:rsidRDefault="00000000" w:rsidRPr="00000000" w14:paraId="0000000E">
      <w:pPr>
        <w:spacing w:after="60" w:line="240"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w:t>
      </w:r>
      <w:r w:rsidDel="00000000" w:rsidR="00000000" w:rsidRPr="00000000">
        <w:rPr>
          <w:rFonts w:ascii="Times New Roman" w:cs="Times New Roman" w:eastAsia="Times New Roman" w:hAnsi="Times New Roman"/>
          <w:b w:val="1"/>
          <w:sz w:val="20"/>
          <w:szCs w:val="20"/>
          <w:rtl w:val="0"/>
        </w:rPr>
        <w:t xml:space="preserve">esumen</w:t>
      </w:r>
      <w:r w:rsidDel="00000000" w:rsidR="00000000" w:rsidRPr="00000000">
        <w:rPr>
          <w:rtl w:val="0"/>
        </w:rPr>
      </w:r>
    </w:p>
    <w:p w:rsidR="00000000" w:rsidDel="00000000" w:rsidP="00000000" w:rsidRDefault="00000000" w:rsidRPr="00000000" w14:paraId="0000000F">
      <w:pPr>
        <w:spacing w:after="60" w:lin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El objetivo de esta investigación consiste en desarrollar un procedimiento para realizar balances de carga y capaci</w:t>
      </w:r>
      <w:r w:rsidDel="00000000" w:rsidR="00000000" w:rsidRPr="00000000">
        <w:rPr>
          <w:rFonts w:ascii="Times New Roman" w:cs="Times New Roman" w:eastAsia="Times New Roman" w:hAnsi="Times New Roman"/>
          <w:sz w:val="20"/>
          <w:szCs w:val="20"/>
          <w:rtl w:val="0"/>
        </w:rPr>
        <w:t xml:space="preserve">dad </w:t>
      </w:r>
      <w:r w:rsidDel="00000000" w:rsidR="00000000" w:rsidRPr="00000000">
        <w:rPr>
          <w:rFonts w:ascii="Times New Roman" w:cs="Times New Roman" w:eastAsia="Times New Roman" w:hAnsi="Times New Roman"/>
          <w:color w:val="000000"/>
          <w:sz w:val="20"/>
          <w:szCs w:val="20"/>
          <w:rtl w:val="0"/>
        </w:rPr>
        <w:t xml:space="preserve">al personal docente en la Universidad de Holguín. Se realizó un análisis teórico y metodológico que abarcó estudios de organización del trabajo y procedimientos para realizar los balances de carga y capacidad en el escenario universitario. La aplicación se desarrolló en el Departamento de Ingeniería Industrial de la Facultad </w:t>
      </w:r>
      <w:r w:rsidDel="00000000" w:rsidR="00000000" w:rsidRPr="00000000">
        <w:rPr>
          <w:rFonts w:ascii="Times New Roman" w:cs="Times New Roman" w:eastAsia="Times New Roman" w:hAnsi="Times New Roman"/>
          <w:sz w:val="20"/>
          <w:szCs w:val="20"/>
          <w:rtl w:val="0"/>
        </w:rPr>
        <w:t xml:space="preserve">de dicha carrera</w:t>
      </w:r>
      <w:r w:rsidDel="00000000" w:rsidR="00000000" w:rsidRPr="00000000">
        <w:rPr>
          <w:rFonts w:ascii="Times New Roman" w:cs="Times New Roman" w:eastAsia="Times New Roman" w:hAnsi="Times New Roman"/>
          <w:color w:val="000000"/>
          <w:sz w:val="20"/>
          <w:szCs w:val="20"/>
          <w:rtl w:val="0"/>
        </w:rPr>
        <w:t xml:space="preserve">, en el segundo período del año escolar 2022, se constató que el mismo se encuentra con una relación alumno-profesor elevada, pero a la vez subutilizado. La causa principal de la subutilización es que la planificación docente no cubre asignaturas de disciplinas del departamento en el período de análisis, las que serán cubiertas en el próximo. A partir de los resultados del diagnóstico desarrollado, se proponen estrategias, encaminadas a incrementar las acciones de investigación y superación, fundamentalmente la formación doctoral.</w:t>
      </w:r>
    </w:p>
    <w:p w:rsidR="00000000" w:rsidDel="00000000" w:rsidP="00000000" w:rsidRDefault="00000000" w:rsidRPr="00000000" w14:paraId="00000010">
      <w:pPr>
        <w:spacing w:after="60" w:lin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Palabras Clave</w:t>
      </w:r>
      <w:r w:rsidDel="00000000" w:rsidR="00000000" w:rsidRPr="00000000">
        <w:rPr>
          <w:rFonts w:ascii="Times New Roman" w:cs="Times New Roman" w:eastAsia="Times New Roman" w:hAnsi="Times New Roman"/>
          <w:color w:val="000000"/>
          <w:sz w:val="20"/>
          <w:szCs w:val="20"/>
          <w:rtl w:val="0"/>
        </w:rPr>
        <w:t xml:space="preserve">: Balances de carga y capacidad</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sz w:val="20"/>
          <w:szCs w:val="20"/>
          <w:rtl w:val="0"/>
        </w:rPr>
        <w:t xml:space="preserve">r</w:t>
      </w:r>
      <w:r w:rsidDel="00000000" w:rsidR="00000000" w:rsidRPr="00000000">
        <w:rPr>
          <w:rFonts w:ascii="Times New Roman" w:cs="Times New Roman" w:eastAsia="Times New Roman" w:hAnsi="Times New Roman"/>
          <w:color w:val="000000"/>
          <w:sz w:val="20"/>
          <w:szCs w:val="20"/>
          <w:rtl w:val="0"/>
        </w:rPr>
        <w:t xml:space="preserve">elación alumno-profesor</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000000"/>
          <w:sz w:val="20"/>
          <w:szCs w:val="20"/>
          <w:rtl w:val="0"/>
        </w:rPr>
        <w:t xml:space="preserve"> Universidad</w:t>
      </w:r>
      <w:r w:rsidDel="00000000" w:rsidR="00000000" w:rsidRPr="00000000">
        <w:rPr>
          <w:rFonts w:ascii="Times New Roman" w:cs="Times New Roman" w:eastAsia="Times New Roman" w:hAnsi="Times New Roman"/>
          <w:sz w:val="20"/>
          <w:szCs w:val="20"/>
          <w:rtl w:val="0"/>
        </w:rPr>
        <w:t xml:space="preserve">; p</w:t>
      </w:r>
      <w:r w:rsidDel="00000000" w:rsidR="00000000" w:rsidRPr="00000000">
        <w:rPr>
          <w:rFonts w:ascii="Times New Roman" w:cs="Times New Roman" w:eastAsia="Times New Roman" w:hAnsi="Times New Roman"/>
          <w:color w:val="000000"/>
          <w:sz w:val="20"/>
          <w:szCs w:val="20"/>
          <w:rtl w:val="0"/>
        </w:rPr>
        <w:t xml:space="preserve">ersonal docente</w:t>
      </w:r>
    </w:p>
    <w:p w:rsidR="00000000" w:rsidDel="00000000" w:rsidP="00000000" w:rsidRDefault="00000000" w:rsidRPr="00000000" w14:paraId="00000011">
      <w:pPr>
        <w:spacing w:after="60" w:line="240"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w:t>
      </w:r>
      <w:r w:rsidDel="00000000" w:rsidR="00000000" w:rsidRPr="00000000">
        <w:rPr>
          <w:rFonts w:ascii="Times New Roman" w:cs="Times New Roman" w:eastAsia="Times New Roman" w:hAnsi="Times New Roman"/>
          <w:b w:val="1"/>
          <w:sz w:val="20"/>
          <w:szCs w:val="20"/>
          <w:rtl w:val="0"/>
        </w:rPr>
        <w:t xml:space="preserve">bstract</w:t>
      </w:r>
      <w:r w:rsidDel="00000000" w:rsidR="00000000" w:rsidRPr="00000000">
        <w:rPr>
          <w:rtl w:val="0"/>
        </w:rPr>
      </w:r>
    </w:p>
    <w:p w:rsidR="00000000" w:rsidDel="00000000" w:rsidP="00000000" w:rsidRDefault="00000000" w:rsidRPr="00000000" w14:paraId="00000012">
      <w:pPr>
        <w:spacing w:after="60" w:lin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sz w:val="20"/>
          <w:szCs w:val="20"/>
          <w:rtl w:val="0"/>
        </w:rPr>
        <w:t xml:space="preserve">The objective of this research is to develop a procedure to carry out load and capacity balances for the teaching staff at the University of Holguin. A theoretical and methodological analysis was carried out, which included work organization studies and procedures to carry out load and capacity balances in the university scenario. The application was developed in the Department of Industrial Engineering of the Faculty of that career, in the second period of the school year 2022, it was found that it has a high student-teacher ratio, but at the same time underutilized. The main cause of the underutilization is that the teaching planning does not cover subjects of disciplines of the department in the period under analysis, which will be covered in the next period. Based on the results of the diagnosis developed, strategies are proposed, aimed at increasing research and improvement actions, mainly doctoral training.</w:t>
      </w:r>
      <w:r w:rsidDel="00000000" w:rsidR="00000000" w:rsidRPr="00000000">
        <w:rPr>
          <w:rtl w:val="0"/>
        </w:rPr>
      </w:r>
    </w:p>
    <w:p w:rsidR="00000000" w:rsidDel="00000000" w:rsidP="00000000" w:rsidRDefault="00000000" w:rsidRPr="00000000" w14:paraId="00000013">
      <w:pPr>
        <w:spacing w:after="60" w:line="240" w:lineRule="auto"/>
        <w:jc w:val="both"/>
        <w:rPr>
          <w:rFonts w:ascii="Times New Roman" w:cs="Times New Roman" w:eastAsia="Times New Roman" w:hAnsi="Times New Roman"/>
          <w:b w:val="1"/>
          <w:color w:val="000000"/>
          <w:sz w:val="20"/>
          <w:szCs w:val="20"/>
        </w:rPr>
        <w:sectPr>
          <w:type w:val="continuous"/>
          <w:pgSz w:h="15840" w:w="12240" w:orient="portrait"/>
          <w:pgMar w:bottom="1418" w:top="1135" w:left="1418" w:right="1418" w:header="709" w:footer="709"/>
          <w:cols w:equalWidth="0" w:num="2">
            <w:col w:space="720" w:w="4342"/>
            <w:col w:space="0" w:w="4342"/>
          </w:cols>
        </w:sectPr>
      </w:pPr>
      <w:r w:rsidDel="00000000" w:rsidR="00000000" w:rsidRPr="00000000">
        <w:rPr>
          <w:rFonts w:ascii="Times New Roman" w:cs="Times New Roman" w:eastAsia="Times New Roman" w:hAnsi="Times New Roman"/>
          <w:b w:val="1"/>
          <w:color w:val="000000"/>
          <w:sz w:val="20"/>
          <w:szCs w:val="20"/>
          <w:rtl w:val="0"/>
        </w:rPr>
        <w:t xml:space="preserve">Keywords: </w:t>
      </w:r>
      <w:r w:rsidDel="00000000" w:rsidR="00000000" w:rsidRPr="00000000">
        <w:rPr>
          <w:rFonts w:ascii="Times New Roman" w:cs="Times New Roman" w:eastAsia="Times New Roman" w:hAnsi="Times New Roman"/>
          <w:color w:val="000000"/>
          <w:sz w:val="20"/>
          <w:szCs w:val="20"/>
          <w:rtl w:val="0"/>
        </w:rPr>
        <w:t xml:space="preserve">Load and capacity balances</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Student-teacher ratio</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000000"/>
          <w:sz w:val="20"/>
          <w:szCs w:val="20"/>
          <w:rtl w:val="0"/>
        </w:rPr>
        <w:t xml:space="preserve"> University</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000000"/>
          <w:sz w:val="20"/>
          <w:szCs w:val="20"/>
          <w:rtl w:val="0"/>
        </w:rPr>
        <w:t xml:space="preserve"> Teaching staff</w:t>
      </w:r>
      <w:r w:rsidDel="00000000" w:rsidR="00000000" w:rsidRPr="00000000">
        <w:rPr>
          <w:rtl w:val="0"/>
        </w:rPr>
      </w:r>
    </w:p>
    <w:p w:rsidR="00000000" w:rsidDel="00000000" w:rsidP="00000000" w:rsidRDefault="00000000" w:rsidRPr="00000000" w14:paraId="00000014">
      <w:pPr>
        <w:spacing w:after="60" w:line="240"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RESUMO</w:t>
      </w:r>
    </w:p>
    <w:p w:rsidR="00000000" w:rsidDel="00000000" w:rsidP="00000000" w:rsidRDefault="00000000" w:rsidRPr="00000000" w14:paraId="00000015">
      <w:pPr>
        <w:spacing w:after="60" w:line="24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O objetivo desta pesquisa é desenvolver um procedimento para realizar balanços de carga e capacidade do corpo docente na Universidade de Holguín. Foi realizada uma análise teórica e metodológica que abrangeu estudos sobre organização do trabalho e procedimentos para realizar os balanços de carga e capacidade no cenário universitário. A aplicação foi desenvolvida no Departamento de Engenharia Industrial da Faculdade de Engenharia Industrial, no segundo período do ano letivo de 2022, constatando-se que o mesmo apresenta uma relação aluno-professor elevada, mas ao mesmo tempo subutilizada. A principal causa da subutilização é que o planejamento docente não abrange disciplinas do departamento no período de análise, as quais serão cobertas no próximo. Com base nos resultados do diagnóstico desenvolvido, são propostas estratégias, visando aumentar as ações de pesquisa e aperfeiçoamento, principalmente a formação doutoral.</w:t>
      </w:r>
    </w:p>
    <w:p w:rsidR="00000000" w:rsidDel="00000000" w:rsidP="00000000" w:rsidRDefault="00000000" w:rsidRPr="00000000" w14:paraId="00000016">
      <w:pPr>
        <w:spacing w:after="60" w:line="240"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Palavras-chave: </w:t>
      </w:r>
      <w:r w:rsidDel="00000000" w:rsidR="00000000" w:rsidRPr="00000000">
        <w:rPr>
          <w:rFonts w:ascii="Times New Roman" w:cs="Times New Roman" w:eastAsia="Times New Roman" w:hAnsi="Times New Roman"/>
          <w:color w:val="000000"/>
          <w:sz w:val="20"/>
          <w:szCs w:val="20"/>
          <w:rtl w:val="0"/>
        </w:rPr>
        <w:t xml:space="preserve">Balanços de carga e capacidade, Relação aluno-professor, Universidade, Corpo docente</w:t>
      </w:r>
      <w:r w:rsidDel="00000000" w:rsidR="00000000" w:rsidRPr="00000000">
        <w:rPr>
          <w:rtl w:val="0"/>
        </w:rPr>
      </w:r>
    </w:p>
    <w:p w:rsidR="00000000" w:rsidDel="00000000" w:rsidP="00000000" w:rsidRDefault="00000000" w:rsidRPr="00000000" w14:paraId="00000017">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18">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w:t>
      </w:r>
      <w:r w:rsidDel="00000000" w:rsidR="00000000" w:rsidRPr="00000000">
        <w:rPr>
          <w:rFonts w:ascii="Times New Roman" w:cs="Times New Roman" w:eastAsia="Times New Roman" w:hAnsi="Times New Roman"/>
          <w:b w:val="1"/>
          <w:sz w:val="24"/>
          <w:szCs w:val="24"/>
          <w:rtl w:val="0"/>
        </w:rPr>
        <w:t xml:space="preserve">ntroducción</w:t>
      </w:r>
      <w:r w:rsidDel="00000000" w:rsidR="00000000" w:rsidRPr="00000000">
        <w:rPr>
          <w:rtl w:val="0"/>
        </w:rPr>
      </w:r>
    </w:p>
    <w:p w:rsidR="00000000" w:rsidDel="00000000" w:rsidP="00000000" w:rsidRDefault="00000000" w:rsidRPr="00000000" w14:paraId="00000019">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 avance científico-técnico es el principal motor impulsor de la sociedad moderna y en este punto las universidades han sido cuna de grandes descubrimientos y de la formación de profesionales. Las universidades constituyen la base del desarrollo científico profesional de una sociedad, es por ello la necesidad de desarrollar una correcta gestión en sus procesos.</w:t>
      </w:r>
    </w:p>
    <w:p w:rsidR="00000000" w:rsidDel="00000000" w:rsidP="00000000" w:rsidRDefault="00000000" w:rsidRPr="00000000" w14:paraId="0000001A">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gestión de los recursos humanos en una universidad, clasificada por autores (Ministerio de Educación Superior, 2022; Nuñez Cruz, 2023; Rodríguez Santana et al., 2023) como proceso estratégico, posee peculiaridades con respecto a organizaciones de otras índoles, fundamentalmente por el papel que tiene el profesor en el desarrollo de los procesos sustantivos. En revisión realizada a proyectos de desarrollo institucional de universidades del mundo (Argentina, Brasil, Chile, Cuba, Ecuador, Nicaragua, Paraguay, Uruguay, Colombia, México, Estados Unidos, Canadá, Francia, España, China, Japón, Angola y Sudáfrica), se pudo constatar que existen en todas, elementos estratégicos vinculados al claustro. Entre ellos se destacan con más de un 25% de coincidencia: doctores en el claustro, categorías docentes, visibilidad internacional, reserva científica y relación alumno por profesor (RAP). En el caso de este último, tiene un papel clave en el logro de la calidad del proceso de enseñanza aprendizaje y está relacionado con la capacidad que tiene la plantilla universitaria de hacerle frente a las demandas docentes. </w:t>
      </w:r>
    </w:p>
    <w:p w:rsidR="00000000" w:rsidDel="00000000" w:rsidP="00000000" w:rsidRDefault="00000000" w:rsidRPr="00000000" w14:paraId="0000001B">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 ha demostrado que un número menor de alumnos por clase suele ir asociado a un mayor rendimiento académico, sobre todo en el caso de los estudiantes de entornos menos privilegiados (Melo</w:t>
      </w:r>
      <w:r w:rsidDel="00000000" w:rsidR="00000000" w:rsidRPr="00000000">
        <w:rPr>
          <w:rFonts w:ascii="Times New Roman" w:cs="Times New Roman" w:eastAsia="Times New Roman" w:hAnsi="Times New Roman"/>
          <w:sz w:val="24"/>
          <w:szCs w:val="24"/>
          <w:rtl w:val="0"/>
        </w:rPr>
        <w:t xml:space="preserve"> et al.</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2020). Sin embargo, ese número menor de RAP, puede afectar también los resultados económicos de la institución, ya que las universidades, fundamentalmente las públicas cuentan con presupuestos que limitan la contratación de todos los profesores deseados. </w:t>
      </w:r>
    </w:p>
    <w:p w:rsidR="00000000" w:rsidDel="00000000" w:rsidP="00000000" w:rsidRDefault="00000000" w:rsidRPr="00000000" w14:paraId="0000001C">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estudios realizados en el sistema escolar mexicano, se evidenciaba en el sector universitario un RAP de 9.37 (Trujillo Segoviano, 2015). Por otra parte, se tienen estudios en el sistema educacional no universitario, emitidos por el Ministerio de Educación y Formación Profesional (2019) de España, donde aparecen países como Lituania y Grecia con valores menores de 9 y por otro lado países como Francia, Países Bajos y Reino Unidos con RAP mayor de 15. Según Angulo Linero (2021) el número óptimo de estudiantes por profesor en la educación universitaria varía dependiendo del nivel de formación, el área del conocimiento y la metodología de la educación.</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Sin embargo, Acuña (2016) define ventajas para un RAP bajo, entre ellas satisfacción del profesorado, enseñanza individualizada, más tiempo dedicado a la enseñanza que acciones de gestión y control y favorece la implicación familiar en la educación, por lo que evidencia que un RAP menor favorece la calidad fundamentalmente del proceso de formación en las universidades.</w:t>
      </w:r>
    </w:p>
    <w:p w:rsidR="00000000" w:rsidDel="00000000" w:rsidP="00000000" w:rsidRDefault="00000000" w:rsidRPr="00000000" w14:paraId="0000001D">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Cuba, dado que no existe una base legal que rija este proceso, los centros de educación superior han de definir sus normas y procedimientos para realizar los balances de carga y capacidad (BQC) de su personal docente para que estos puedan cumplir de forma exitosa con los procesos clave. El Ministerio de Educación Superior (MES), en su proyecto estratégico para el período 2022-2026 considera el proceso de Recursos Humanos y dentro de este un total de 17 indicadores, donde el primer indicador definido es el RAP, que se clasifica como esencial. </w:t>
      </w:r>
    </w:p>
    <w:p w:rsidR="00000000" w:rsidDel="00000000" w:rsidP="00000000" w:rsidRDefault="00000000" w:rsidRPr="00000000" w14:paraId="0000001E">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Las metas establecidas durante el período 2022-2016 rondan en un RAP cercano a los 12 puntos. El mismo está en correspondencia con lo definido hace ya algunos años por Herrera González et al., (2001) de 12.28 de RAP para emplearlo en el cálculo de plantilla en las universidades cubanas. Sin embargo, se considera necesario profundizar en su cálculo, pues en ese entonces no existía la gran modalidad de cursos de hoy en día, por lo que pudiera generar distorsión en el resultado y la interpretación del indicador, de considerarse por igual cada tipo de estudiante. </w:t>
      </w:r>
    </w:p>
    <w:p w:rsidR="00000000" w:rsidDel="00000000" w:rsidP="00000000" w:rsidRDefault="00000000" w:rsidRPr="00000000" w14:paraId="0000001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Otro de los problemas para el cálculo del RAP, de acuerdo con Angulo Linero (2021), es la consideración cuantitativa de los docentes en dependencia con su contrato, teniendo en cuenta que un docente a tiempo completo y uno a tiempo parcial no tienen la misma implicación en los procesos universitarios. Esto se une a nuevos cambios en la educación superior, donde se le han dado pesos superiores a procesos como investigación, gestión de proyecto, internacionalización, virtualización y extensión universitaria, lo que deviene en que el docente universitario no solo sea un pleno desarrollador de docencia, sino que tenga un amplio quehacer dentro de la comunidad universitaria.</w:t>
      </w:r>
    </w:p>
    <w:p w:rsidR="00000000" w:rsidDel="00000000" w:rsidP="00000000" w:rsidRDefault="00000000" w:rsidRPr="00000000" w14:paraId="00000020">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la Universidad de Holguín (UHo), se emplea una metodología adaptada de la propuesta de Herrera González et al. (2001) para realizar los BQC, al tiempo que permite garantizar un RAP definido por el MES. Sin embargo, entre las limitantes que la metodología poseía se tienen que no estandarizaba el tiempo de las actividades para el resto de los procesos (solo lo hacía para las actividades de docencia directa); no se consideraban actividades para todos los procesos en los que se desenvuelve el profesor universitario; no existía una herramienta informática que viabilizara el despliegue de la metodología en la Universidad y que permitiera a la Dirección de Recursos Humanos supervisar y actuar durante ese proceso y no existía preparación de todos los directivos en el empleo de la metodología, lo que limitaba el correcto desarrollo de la misma. </w:t>
      </w:r>
    </w:p>
    <w:p w:rsidR="00000000" w:rsidDel="00000000" w:rsidP="00000000" w:rsidRDefault="00000000" w:rsidRPr="00000000" w14:paraId="00000021">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Posterior al proceso de ordenamiento el presupuesto asignado para gastos de personal a la Universidad es finito, por lo que se requiere el empleo óptimo del mismo y por esto se hace necesario contar con la plantilla de docentes adecuada. Por otro parte, los niveles de fluctuación en la entidad, dan lugar a que exista áreas que cuentan con docentes que poseen exceso de carga, lo que puede generar tanto un descenso en los niveles de satisfacción laboral y una potencial causa de abandono, así como que pueden existir afectaciones a la calidad de los procesos que desarrollan estos profesores.</w:t>
      </w:r>
    </w:p>
    <w:p w:rsidR="00000000" w:rsidDel="00000000" w:rsidP="00000000" w:rsidRDefault="00000000" w:rsidRPr="00000000" w14:paraId="00000022">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Los aspectos planteados, evidencian la necesidad de propiciar una herramienta que permita desarrollar de forma eficiente, los BQC de los docentes, con soporte en las tecnologías de la informática y las comunicaciones, para optimizar el trabajo de los docentes y garantizar con calidad las funciones en las que el mismo se desarrolla. Además, que la herramienta tenga el RAP como patrón de referencia en la toma de decisiones para cumplir con los estándares del MES en su planeación estratégica.</w:t>
      </w:r>
    </w:p>
    <w:p w:rsidR="00000000" w:rsidDel="00000000" w:rsidP="00000000" w:rsidRDefault="00000000" w:rsidRPr="00000000" w14:paraId="00000023">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DESARROLLO</w:t>
      </w:r>
    </w:p>
    <w:p w:rsidR="00000000" w:rsidDel="00000000" w:rsidP="00000000" w:rsidRDefault="00000000" w:rsidRPr="00000000" w14:paraId="00000024">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Para el desarrollo del procedimiento se utilizan una serie cálculos, los cuales se basan en coeficientes calculados mediante investigación y análisis estadístico. Para ello se realizaron entrevistas, </w:t>
      </w:r>
      <w:r w:rsidDel="00000000" w:rsidR="00000000" w:rsidRPr="00000000">
        <w:rPr>
          <w:rFonts w:ascii="Times New Roman" w:cs="Times New Roman" w:eastAsia="Times New Roman" w:hAnsi="Times New Roman"/>
          <w:i w:val="1"/>
          <w:color w:val="000000"/>
          <w:sz w:val="24"/>
          <w:szCs w:val="24"/>
          <w:rtl w:val="0"/>
        </w:rPr>
        <w:t xml:space="preserve">brainstorming</w:t>
      </w:r>
      <w:r w:rsidDel="00000000" w:rsidR="00000000" w:rsidRPr="00000000">
        <w:rPr>
          <w:rFonts w:ascii="Times New Roman" w:cs="Times New Roman" w:eastAsia="Times New Roman" w:hAnsi="Times New Roman"/>
          <w:color w:val="000000"/>
          <w:sz w:val="24"/>
          <w:szCs w:val="24"/>
          <w:rtl w:val="0"/>
        </w:rPr>
        <w:t xml:space="preserve"> y encuentros con la participación de profesores, jefes de departamento, jefes de disciplina y profesores principales de año. Se revisaron las atribuciones, obligaciones y responsabilidades de los profesores (Ministerio de Educación Superior, 2016), así como planes de trabajo de docentes de la UHo. Se realizó el análisis de actas de las asignaturas del departamento de cinco carreras de los últimos dos años. Estos valores pueden y deben ser ajustados para garantizar siempre su máxima exactitud, preferentemente al cierre de cada año escolar. </w:t>
      </w:r>
    </w:p>
    <w:p w:rsidR="00000000" w:rsidDel="00000000" w:rsidP="00000000" w:rsidRDefault="00000000" w:rsidRPr="00000000" w14:paraId="00000025">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 resultado de los estudios puede repercutir en ajustes de personal, por lo que es necesario mantener una base de cálculo precisa y acertada que permita reflejar de manera cuantitativa la realidad del trabajo del personal docente. El procedimiento cuenta con tres etapas fundamentales que se muestran en la figura siguiente:</w:t>
      </w:r>
    </w:p>
    <w:p w:rsidR="00000000" w:rsidDel="00000000" w:rsidP="00000000" w:rsidRDefault="00000000" w:rsidRPr="00000000" w14:paraId="00000026">
      <w:pPr>
        <w:spacing w:after="0" w:line="360" w:lineRule="auto"/>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after="0" w:line="36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Figura 1.</w:t>
      </w:r>
    </w:p>
    <w:p w:rsidR="00000000" w:rsidDel="00000000" w:rsidP="00000000" w:rsidRDefault="00000000" w:rsidRPr="00000000" w14:paraId="00000028">
      <w:pPr>
        <w:spacing w:after="0" w:line="360" w:lineRule="auto"/>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Procedimiento para realizar balances carga-capacidad de docentes</w:t>
      </w:r>
      <w:r w:rsidDel="00000000" w:rsidR="00000000" w:rsidRPr="00000000">
        <w:rPr>
          <w:rtl w:val="0"/>
        </w:rPr>
      </w:r>
    </w:p>
    <w:p w:rsidR="00000000" w:rsidDel="00000000" w:rsidP="00000000" w:rsidRDefault="00000000" w:rsidRPr="00000000" w14:paraId="00000029">
      <w:pPr>
        <w:spacing w:after="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Pr>
        <mc:AlternateContent>
          <mc:Choice Requires="wpg">
            <w:drawing>
              <wp:inline distB="0" distT="0" distL="0" distR="0">
                <wp:extent cx="5875655" cy="1470991"/>
                <wp:effectExtent b="0" l="0" r="0" t="0"/>
                <wp:docPr id="1" name=""/>
                <a:graphic>
                  <a:graphicData uri="http://schemas.microsoft.com/office/word/2010/wordprocessingGroup">
                    <wpg:wgp>
                      <wpg:cNvGrpSpPr/>
                      <wpg:grpSpPr>
                        <a:xfrm>
                          <a:off x="0" y="0"/>
                          <a:ext cx="5875655" cy="1470991"/>
                          <a:chOff x="0" y="0"/>
                          <a:chExt cx="5875650" cy="1470975"/>
                        </a:xfrm>
                      </wpg:grpSpPr>
                      <wpg:grpSp>
                        <wpg:cNvGrpSpPr/>
                        <wpg:grpSpPr>
                          <a:xfrm>
                            <a:off x="0" y="0"/>
                            <a:ext cx="5875650" cy="1470975"/>
                            <a:chOff x="0" y="0"/>
                            <a:chExt cx="5875650" cy="1470975"/>
                          </a:xfrm>
                        </wpg:grpSpPr>
                        <wps:wsp>
                          <wps:cNvSpPr/>
                          <wps:cNvPr id="3" name="Shape 3"/>
                          <wps:spPr>
                            <a:xfrm>
                              <a:off x="0" y="0"/>
                              <a:ext cx="5875650" cy="14709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28847"/>
                              <a:ext cx="1694818" cy="448133"/>
                            </a:xfrm>
                            <a:prstGeom prst="chevron">
                              <a:avLst>
                                <a:gd fmla="val 50000" name="adj"/>
                              </a:avLst>
                            </a:prstGeom>
                            <a:solidFill>
                              <a:schemeClr val="accent4"/>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5" name="Shape 5"/>
                          <wps:spPr>
                            <a:xfrm>
                              <a:off x="224067" y="28847"/>
                              <a:ext cx="1246685" cy="44813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Etapa I. Planificación </w:t>
                                </w:r>
                              </w:p>
                            </w:txbxContent>
                          </wps:txbx>
                          <wps:bodyPr anchorCtr="0" anchor="ctr" bIns="6350" lIns="12700" spcFirstLastPara="1" rIns="0" wrap="square" tIns="6350">
                            <a:noAutofit/>
                          </wps:bodyPr>
                        </wps:wsp>
                        <wps:wsp>
                          <wps:cNvSpPr/>
                          <wps:cNvPr id="6" name="Shape 6"/>
                          <wps:spPr>
                            <a:xfrm>
                              <a:off x="1571393" y="58986"/>
                              <a:ext cx="929876" cy="371950"/>
                            </a:xfrm>
                            <a:prstGeom prst="chevron">
                              <a:avLst>
                                <a:gd fmla="val 50000" name="adj"/>
                              </a:avLst>
                            </a:prstGeom>
                            <a:solidFill>
                              <a:srgbClr val="D7D1DF">
                                <a:alpha val="89803"/>
                              </a:srgbClr>
                            </a:solidFill>
                            <a:ln cap="flat" cmpd="sng" w="25400">
                              <a:solidFill>
                                <a:srgbClr val="D7D1DF">
                                  <a:alpha val="89803"/>
                                </a:srgbClr>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7" name="Shape 7"/>
                          <wps:spPr>
                            <a:xfrm>
                              <a:off x="1757368" y="58986"/>
                              <a:ext cx="557926" cy="37195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Global</w:t>
                                </w:r>
                              </w:p>
                            </w:txbxContent>
                          </wps:txbx>
                          <wps:bodyPr anchorCtr="0" anchor="ctr" bIns="6350" lIns="12700" spcFirstLastPara="1" rIns="0" wrap="square" tIns="6350">
                            <a:noAutofit/>
                          </wps:bodyPr>
                        </wps:wsp>
                        <wps:wsp>
                          <wps:cNvSpPr/>
                          <wps:cNvPr id="8" name="Shape 8"/>
                          <wps:spPr>
                            <a:xfrm>
                              <a:off x="2402945" y="73135"/>
                              <a:ext cx="1083371" cy="371950"/>
                            </a:xfrm>
                            <a:prstGeom prst="chevron">
                              <a:avLst>
                                <a:gd fmla="val 50000" name="adj"/>
                              </a:avLst>
                            </a:prstGeom>
                            <a:solidFill>
                              <a:srgbClr val="D3CFE0">
                                <a:alpha val="89803"/>
                              </a:srgbClr>
                            </a:solidFill>
                            <a:ln cap="flat" cmpd="sng" w="25400">
                              <a:solidFill>
                                <a:srgbClr val="D3CFE0">
                                  <a:alpha val="89803"/>
                                </a:srgbClr>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9" name="Shape 9"/>
                          <wps:spPr>
                            <a:xfrm>
                              <a:off x="2588920" y="73135"/>
                              <a:ext cx="711421" cy="37195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Específica</w:t>
                                </w:r>
                              </w:p>
                            </w:txbxContent>
                          </wps:txbx>
                          <wps:bodyPr anchorCtr="0" anchor="ctr" bIns="6350" lIns="12700" spcFirstLastPara="1" rIns="0" wrap="square" tIns="6350">
                            <a:noAutofit/>
                          </wps:bodyPr>
                        </wps:wsp>
                        <wps:wsp>
                          <wps:cNvSpPr/>
                          <wps:cNvPr id="10" name="Shape 10"/>
                          <wps:spPr>
                            <a:xfrm>
                              <a:off x="0" y="504357"/>
                              <a:ext cx="1721269" cy="448133"/>
                            </a:xfrm>
                            <a:prstGeom prst="chevron">
                              <a:avLst>
                                <a:gd fmla="val 50000" name="adj"/>
                              </a:avLst>
                            </a:prstGeom>
                            <a:solidFill>
                              <a:srgbClr val="5665B3"/>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1" name="Shape 11"/>
                          <wps:spPr>
                            <a:xfrm>
                              <a:off x="224067" y="504357"/>
                              <a:ext cx="1273136" cy="44813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Etapa II. Distribución</w:t>
                                </w:r>
                              </w:p>
                            </w:txbxContent>
                          </wps:txbx>
                          <wps:bodyPr anchorCtr="0" anchor="ctr" bIns="6350" lIns="12700" spcFirstLastPara="1" rIns="0" wrap="square" tIns="6350">
                            <a:noAutofit/>
                          </wps:bodyPr>
                        </wps:wsp>
                        <wps:wsp>
                          <wps:cNvSpPr/>
                          <wps:cNvPr id="12" name="Shape 12"/>
                          <wps:spPr>
                            <a:xfrm>
                              <a:off x="1580195" y="528300"/>
                              <a:ext cx="1345848" cy="371950"/>
                            </a:xfrm>
                            <a:prstGeom prst="chevron">
                              <a:avLst>
                                <a:gd fmla="val 50000" name="adj"/>
                              </a:avLst>
                            </a:prstGeom>
                            <a:solidFill>
                              <a:srgbClr val="CED0E3">
                                <a:alpha val="89803"/>
                              </a:srgbClr>
                            </a:solidFill>
                            <a:ln cap="flat" cmpd="sng" w="25400">
                              <a:solidFill>
                                <a:srgbClr val="CED0E3">
                                  <a:alpha val="89803"/>
                                </a:srgbClr>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3" name="Shape 13"/>
                          <wps:spPr>
                            <a:xfrm>
                              <a:off x="1766170" y="528300"/>
                              <a:ext cx="973898" cy="37195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Distribución de la carga directa</w:t>
                                </w:r>
                              </w:p>
                            </w:txbxContent>
                          </wps:txbx>
                          <wps:bodyPr anchorCtr="0" anchor="ctr" bIns="6350" lIns="12700" spcFirstLastPara="1" rIns="0" wrap="square" tIns="6350">
                            <a:noAutofit/>
                          </wps:bodyPr>
                        </wps:wsp>
                        <wps:wsp>
                          <wps:cNvSpPr/>
                          <wps:cNvPr id="14" name="Shape 14"/>
                          <wps:spPr>
                            <a:xfrm>
                              <a:off x="2792467" y="508531"/>
                              <a:ext cx="1825320" cy="371950"/>
                            </a:xfrm>
                            <a:prstGeom prst="chevron">
                              <a:avLst>
                                <a:gd fmla="val 50000" name="adj"/>
                              </a:avLst>
                            </a:prstGeom>
                            <a:solidFill>
                              <a:srgbClr val="CDD4E5">
                                <a:alpha val="89803"/>
                              </a:srgbClr>
                            </a:solidFill>
                            <a:ln cap="flat" cmpd="sng" w="25400">
                              <a:solidFill>
                                <a:srgbClr val="CDD4E5">
                                  <a:alpha val="89803"/>
                                </a:srgbClr>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5" name="Shape 15"/>
                          <wps:spPr>
                            <a:xfrm>
                              <a:off x="2978442" y="508531"/>
                              <a:ext cx="1453370" cy="37195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Cálculo, determinación y asignación de las cargas indirectas individuales</w:t>
                                </w:r>
                              </w:p>
                            </w:txbxContent>
                          </wps:txbx>
                          <wps:bodyPr anchorCtr="0" anchor="ctr" bIns="6350" lIns="12700" spcFirstLastPara="1" rIns="0" wrap="square" tIns="6350">
                            <a:noAutofit/>
                          </wps:bodyPr>
                        </wps:wsp>
                        <wps:wsp>
                          <wps:cNvSpPr/>
                          <wps:cNvPr id="16" name="Shape 16"/>
                          <wps:spPr>
                            <a:xfrm>
                              <a:off x="0" y="965719"/>
                              <a:ext cx="1693866" cy="448133"/>
                            </a:xfrm>
                            <a:prstGeom prst="chevron">
                              <a:avLst>
                                <a:gd fmla="val 50000" name="adj"/>
                              </a:avLst>
                            </a:prstGeom>
                            <a:solidFill>
                              <a:srgbClr val="4AA9C5"/>
                            </a:solidFill>
                            <a:ln cap="flat" cmpd="sng" w="2540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7" name="Shape 17"/>
                          <wps:spPr>
                            <a:xfrm>
                              <a:off x="224067" y="965719"/>
                              <a:ext cx="1245733" cy="448133"/>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Etapa III. Cálculo, análisis y toma de decisiones</w:t>
                                </w:r>
                              </w:p>
                            </w:txbxContent>
                          </wps:txbx>
                          <wps:bodyPr anchorCtr="0" anchor="ctr" bIns="6350" lIns="12700" spcFirstLastPara="1" rIns="0" wrap="square" tIns="6350">
                            <a:noAutofit/>
                          </wps:bodyPr>
                        </wps:wsp>
                        <wps:wsp>
                          <wps:cNvSpPr/>
                          <wps:cNvPr id="18" name="Shape 18"/>
                          <wps:spPr>
                            <a:xfrm>
                              <a:off x="1553666" y="996736"/>
                              <a:ext cx="1878360" cy="371950"/>
                            </a:xfrm>
                            <a:prstGeom prst="chevron">
                              <a:avLst>
                                <a:gd fmla="val 50000" name="adj"/>
                              </a:avLst>
                            </a:prstGeom>
                            <a:solidFill>
                              <a:srgbClr val="CDDAE6">
                                <a:alpha val="89803"/>
                              </a:srgbClr>
                            </a:solidFill>
                            <a:ln cap="flat" cmpd="sng" w="25400">
                              <a:solidFill>
                                <a:srgbClr val="CDDAE6">
                                  <a:alpha val="89803"/>
                                </a:srgbClr>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19" name="Shape 19"/>
                          <wps:spPr>
                            <a:xfrm>
                              <a:off x="1739641" y="996736"/>
                              <a:ext cx="1506410" cy="37195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Cálculo y análisis de indicadores individuales y colectivos</w:t>
                                </w:r>
                              </w:p>
                            </w:txbxContent>
                          </wps:txbx>
                          <wps:bodyPr anchorCtr="0" anchor="ctr" bIns="6350" lIns="12700" spcFirstLastPara="1" rIns="0" wrap="square" tIns="6350">
                            <a:noAutofit/>
                          </wps:bodyPr>
                        </wps:wsp>
                        <wps:wsp>
                          <wps:cNvSpPr/>
                          <wps:cNvPr id="20" name="Shape 20"/>
                          <wps:spPr>
                            <a:xfrm>
                              <a:off x="3338081" y="1003613"/>
                              <a:ext cx="1133752" cy="371950"/>
                            </a:xfrm>
                            <a:prstGeom prst="chevron">
                              <a:avLst>
                                <a:gd fmla="val 50000" name="adj"/>
                              </a:avLst>
                            </a:prstGeom>
                            <a:solidFill>
                              <a:srgbClr val="CCE0E9">
                                <a:alpha val="89803"/>
                              </a:srgbClr>
                            </a:solidFill>
                            <a:ln cap="flat" cmpd="sng" w="25400">
                              <a:solidFill>
                                <a:srgbClr val="CCE0E9">
                                  <a:alpha val="89803"/>
                                </a:srgbClr>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txBox="1"/>
                          <wps:cNvPr id="21" name="Shape 21"/>
                          <wps:spPr>
                            <a:xfrm>
                              <a:off x="3524056" y="1003613"/>
                              <a:ext cx="761802" cy="371950"/>
                            </a:xfrm>
                            <a:prstGeom prst="rect">
                              <a:avLst/>
                            </a:prstGeom>
                            <a:noFill/>
                            <a:ln>
                              <a:noFill/>
                            </a:ln>
                          </wps:spPr>
                          <wps:txbx>
                            <w:txbxContent>
                              <w:p w:rsidR="00000000" w:rsidDel="00000000" w:rsidP="00000000" w:rsidRDefault="00000000" w:rsidRPr="00000000">
                                <w:pPr>
                                  <w:spacing w:after="0" w:before="0" w:line="215.9999942779541"/>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Toma de decisiones </w:t>
                                </w:r>
                              </w:p>
                            </w:txbxContent>
                          </wps:txbx>
                          <wps:bodyPr anchorCtr="0" anchor="ctr" bIns="6350" lIns="12700" spcFirstLastPara="1" rIns="0" wrap="square" tIns="6350">
                            <a:noAutofit/>
                          </wps:bodyPr>
                        </wps:wsp>
                      </wpg:grpSp>
                    </wpg:wgp>
                  </a:graphicData>
                </a:graphic>
              </wp:inline>
            </w:drawing>
          </mc:Choice>
          <mc:Fallback>
            <w:drawing>
              <wp:inline distB="0" distT="0" distL="0" distR="0">
                <wp:extent cx="5875655" cy="1470991"/>
                <wp:effectExtent b="0" l="0" r="0" t="0"/>
                <wp:docPr id="1" name="image3.png"/>
                <a:graphic>
                  <a:graphicData uri="http://schemas.openxmlformats.org/drawingml/2006/picture">
                    <pic:pic>
                      <pic:nvPicPr>
                        <pic:cNvPr id="0" name="image3.png"/>
                        <pic:cNvPicPr preferRelativeResize="0"/>
                      </pic:nvPicPr>
                      <pic:blipFill>
                        <a:blip r:embed="rId16"/>
                        <a:srcRect/>
                        <a:stretch>
                          <a:fillRect/>
                        </a:stretch>
                      </pic:blipFill>
                      <pic:spPr>
                        <a:xfrm>
                          <a:off x="0" y="0"/>
                          <a:ext cx="5875655" cy="1470991"/>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A">
      <w:pPr>
        <w:pStyle w:val="Heading2"/>
        <w:spacing w:after="0" w:before="0" w:line="360" w:lineRule="auto"/>
        <w:jc w:val="both"/>
        <w:rPr>
          <w:rFonts w:ascii="Times New Roman" w:cs="Times New Roman" w:eastAsia="Times New Roman" w:hAnsi="Times New Roman"/>
          <w:b w:val="0"/>
          <w:i w:val="0"/>
          <w:color w:val="000000"/>
          <w:sz w:val="24"/>
          <w:szCs w:val="24"/>
        </w:rPr>
      </w:pPr>
      <w:bookmarkStart w:colFirst="0" w:colLast="0" w:name="_gjdgxs" w:id="0"/>
      <w:bookmarkEnd w:id="0"/>
      <w:r w:rsidDel="00000000" w:rsidR="00000000" w:rsidRPr="00000000">
        <w:rPr>
          <w:rFonts w:ascii="Times New Roman" w:cs="Times New Roman" w:eastAsia="Times New Roman" w:hAnsi="Times New Roman"/>
          <w:b w:val="0"/>
          <w:i w:val="0"/>
          <w:color w:val="000000"/>
          <w:sz w:val="24"/>
          <w:szCs w:val="24"/>
          <w:rtl w:val="0"/>
        </w:rPr>
        <w:t xml:space="preserve">Etapa I. Planificación</w:t>
      </w:r>
    </w:p>
    <w:p w:rsidR="00000000" w:rsidDel="00000000" w:rsidP="00000000" w:rsidRDefault="00000000" w:rsidRPr="00000000" w14:paraId="0000002B">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etapa de planificación busca determinar toda la </w:t>
      </w:r>
      <w:r w:rsidDel="00000000" w:rsidR="00000000" w:rsidRPr="00000000">
        <w:rPr>
          <w:rFonts w:ascii="Times New Roman" w:cs="Times New Roman" w:eastAsia="Times New Roman" w:hAnsi="Times New Roman"/>
          <w:b w:val="1"/>
          <w:color w:val="000000"/>
          <w:sz w:val="24"/>
          <w:szCs w:val="24"/>
          <w:rtl w:val="0"/>
        </w:rPr>
        <w:t xml:space="preserve">carga directa</w:t>
      </w:r>
      <w:r w:rsidDel="00000000" w:rsidR="00000000" w:rsidRPr="00000000">
        <w:rPr>
          <w:rFonts w:ascii="Times New Roman" w:cs="Times New Roman" w:eastAsia="Times New Roman" w:hAnsi="Times New Roman"/>
          <w:color w:val="000000"/>
          <w:sz w:val="24"/>
          <w:szCs w:val="24"/>
          <w:rtl w:val="0"/>
        </w:rPr>
        <w:t xml:space="preserve"> que se asumirá en los departamentos. La planificación deberá ser realizada a nivel de facultad, lo cual delimita que se realizará a las carreras que esta atienda, enmarcada en un período y se realizará para cada curso independientemente. Esta etapa consta de dos pasos: Planificación global y Planificación específica. Los documentos primarios son los planes de estudio, programas de las asignaturas o cursos y el P1 como modelo establecido para la planificación de los cursos.</w:t>
      </w:r>
    </w:p>
    <w:p w:rsidR="00000000" w:rsidDel="00000000" w:rsidP="00000000" w:rsidRDefault="00000000" w:rsidRPr="00000000" w14:paraId="0000002C">
      <w:pPr>
        <w:pStyle w:val="Heading3"/>
        <w:spacing w:after="0" w:before="0" w:line="360" w:lineRule="auto"/>
        <w:jc w:val="both"/>
        <w:rPr>
          <w:rFonts w:ascii="Times New Roman" w:cs="Times New Roman" w:eastAsia="Times New Roman" w:hAnsi="Times New Roman"/>
          <w:b w:val="0"/>
          <w:color w:val="000000"/>
          <w:sz w:val="24"/>
          <w:szCs w:val="24"/>
        </w:rPr>
      </w:pPr>
      <w:bookmarkStart w:colFirst="0" w:colLast="0" w:name="_30j0zll" w:id="1"/>
      <w:bookmarkEnd w:id="1"/>
      <w:r w:rsidDel="00000000" w:rsidR="00000000" w:rsidRPr="00000000">
        <w:rPr>
          <w:rFonts w:ascii="Times New Roman" w:cs="Times New Roman" w:eastAsia="Times New Roman" w:hAnsi="Times New Roman"/>
          <w:b w:val="0"/>
          <w:color w:val="000000"/>
          <w:sz w:val="24"/>
          <w:szCs w:val="24"/>
          <w:rtl w:val="0"/>
        </w:rPr>
        <w:t xml:space="preserve">I. Planificación global</w:t>
      </w:r>
    </w:p>
    <w:p w:rsidR="00000000" w:rsidDel="00000000" w:rsidP="00000000" w:rsidRDefault="00000000" w:rsidRPr="00000000" w14:paraId="0000002D">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el paso de planificación global se establecerá (por cada curso y en el marco de un período), qué asignaturas (según el currículo de este) se impartirán, especificando la cantidad total de horas clase, cantidad de exámenes parciales y la forma de culminación de la asignatura (Examen final, Trabajo de curso o Recorrido). Una vez teniendo estos datos se calculará el tiempo real que un profesor realizará frente a los estudiantes, teniendo en cuenta que una hora clase es 45 min, se establece la siguiente proporción:</w:t>
      </w:r>
    </w:p>
    <w:p w:rsidR="00000000" w:rsidDel="00000000" w:rsidP="00000000" w:rsidRDefault="00000000" w:rsidRPr="00000000" w14:paraId="0000002E">
      <w:pPr>
        <w:jc w:val="left"/>
        <w:rPr>
          <w:rFonts w:ascii="Cambria Math" w:cs="Cambria Math" w:eastAsia="Cambria Math" w:hAnsi="Cambria Math"/>
          <w:color w:val="000000"/>
          <w:sz w:val="24"/>
          <w:szCs w:val="24"/>
        </w:rPr>
      </w:pPr>
      <m:oMath>
        <m:f>
          <m:fPr>
            <m:ctrlPr>
              <w:rPr>
                <w:rFonts w:ascii="Cambria Math" w:cs="Cambria Math" w:eastAsia="Cambria Math" w:hAnsi="Cambria Math"/>
                <w:color w:val="000000"/>
                <w:sz w:val="24"/>
                <w:szCs w:val="24"/>
              </w:rPr>
            </m:ctrlPr>
          </m:fPr>
          <m:num>
            <m:r>
              <w:rPr>
                <w:rFonts w:ascii="Cambria Math" w:cs="Cambria Math" w:eastAsia="Cambria Math" w:hAnsi="Cambria Math"/>
                <w:color w:val="000000"/>
                <w:sz w:val="24"/>
                <w:szCs w:val="24"/>
              </w:rPr>
              <m:t xml:space="preserve">45min</m:t>
            </m:r>
          </m:num>
          <m:den>
            <m:r>
              <w:rPr>
                <w:rFonts w:ascii="Cambria Math" w:cs="Cambria Math" w:eastAsia="Cambria Math" w:hAnsi="Cambria Math"/>
                <w:color w:val="000000"/>
                <w:sz w:val="24"/>
                <w:szCs w:val="24"/>
              </w:rPr>
              <m:t xml:space="preserve">60min</m:t>
            </m:r>
          </m:den>
        </m:f>
        <m:r>
          <w:rPr>
            <w:rFonts w:ascii="Cambria Math" w:cs="Cambria Math" w:eastAsia="Cambria Math" w:hAnsi="Cambria Math"/>
            <w:color w:val="000000"/>
            <w:sz w:val="24"/>
            <w:szCs w:val="24"/>
          </w:rPr>
          <m:t xml:space="preserve">=</m:t>
        </m:r>
        <m:f>
          <m:fPr>
            <m:ctrlPr>
              <w:rPr>
                <w:rFonts w:ascii="Cambria Math" w:cs="Cambria Math" w:eastAsia="Cambria Math" w:hAnsi="Cambria Math"/>
                <w:color w:val="000000"/>
                <w:sz w:val="24"/>
                <w:szCs w:val="24"/>
              </w:rPr>
            </m:ctrlPr>
          </m:fPr>
          <m:num>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hc</m:t>
                </m:r>
              </m:sub>
            </m:sSub>
          </m:num>
          <m:den>
            <m:r>
              <w:rPr>
                <w:rFonts w:ascii="Cambria Math" w:cs="Cambria Math" w:eastAsia="Cambria Math" w:hAnsi="Cambria Math"/>
                <w:color w:val="000000"/>
                <w:sz w:val="24"/>
                <w:szCs w:val="24"/>
              </w:rPr>
              <m:t xml:space="preserve">1h</m:t>
            </m:r>
          </m:den>
        </m:f>
        <m:r>
          <w:rPr>
            <w:rFonts w:ascii="Cambria Math" w:cs="Cambria Math" w:eastAsia="Cambria Math" w:hAnsi="Cambria Math"/>
            <w:color w:val="000000"/>
            <w:sz w:val="24"/>
            <w:szCs w:val="24"/>
          </w:rPr>
          <m:t xml:space="preserve">                   </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hc</m:t>
            </m:r>
          </m:sub>
        </m:sSub>
        <m:r>
          <w:rPr>
            <w:rFonts w:ascii="Cambria Math" w:cs="Cambria Math" w:eastAsia="Cambria Math" w:hAnsi="Cambria Math"/>
            <w:color w:val="000000"/>
            <w:sz w:val="24"/>
            <w:szCs w:val="24"/>
          </w:rPr>
          <m:t xml:space="preserve">=</m:t>
        </m:r>
        <m:f>
          <m:fPr>
            <m:ctrlPr>
              <w:rPr>
                <w:rFonts w:ascii="Cambria Math" w:cs="Cambria Math" w:eastAsia="Cambria Math" w:hAnsi="Cambria Math"/>
                <w:color w:val="000000"/>
                <w:sz w:val="24"/>
                <w:szCs w:val="24"/>
              </w:rPr>
            </m:ctrlPr>
          </m:fPr>
          <m:num>
            <m:r>
              <w:rPr>
                <w:rFonts w:ascii="Cambria Math" w:cs="Cambria Math" w:eastAsia="Cambria Math" w:hAnsi="Cambria Math"/>
                <w:color w:val="000000"/>
                <w:sz w:val="24"/>
                <w:szCs w:val="24"/>
              </w:rPr>
              <m:t xml:space="preserve">45min*1h</m:t>
            </m:r>
          </m:num>
          <m:den>
            <m:r>
              <w:rPr>
                <w:rFonts w:ascii="Cambria Math" w:cs="Cambria Math" w:eastAsia="Cambria Math" w:hAnsi="Cambria Math"/>
                <w:color w:val="000000"/>
                <w:sz w:val="24"/>
                <w:szCs w:val="24"/>
              </w:rPr>
              <m:t xml:space="preserve">60min</m:t>
            </m:r>
          </m:den>
        </m:f>
        <m:r>
          <w:rPr>
            <w:rFonts w:ascii="Cambria Math" w:cs="Cambria Math" w:eastAsia="Cambria Math" w:hAnsi="Cambria Math"/>
            <w:color w:val="000000"/>
            <w:sz w:val="24"/>
            <w:szCs w:val="24"/>
          </w:rPr>
          <m:t xml:space="preserve">             </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hc</m:t>
            </m:r>
          </m:sub>
        </m:sSub>
        <m:r>
          <w:rPr>
            <w:rFonts w:ascii="Cambria Math" w:cs="Cambria Math" w:eastAsia="Cambria Math" w:hAnsi="Cambria Math"/>
            <w:color w:val="000000"/>
            <w:sz w:val="24"/>
            <w:szCs w:val="24"/>
          </w:rPr>
          <m:t xml:space="preserve">=0.75</m:t>
        </m:r>
      </m:oMath>
      <w:r w:rsidDel="00000000" w:rsidR="00000000" w:rsidRPr="00000000">
        <w:rPr>
          <w:rtl w:val="0"/>
        </w:rPr>
      </w:r>
    </w:p>
    <w:p w:rsidR="00000000" w:rsidDel="00000000" w:rsidP="00000000" w:rsidRDefault="00000000" w:rsidRPr="00000000" w14:paraId="0000002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 esta forma se determina el coeficiente de conversión de horas clase a horas reales (</w:t>
      </w:r>
      <m:oMath>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hc</m:t>
            </m:r>
          </m:sub>
        </m:sSub>
      </m:oMath>
      <w:r w:rsidDel="00000000" w:rsidR="00000000" w:rsidRPr="00000000">
        <w:rPr>
          <w:rFonts w:ascii="Times New Roman" w:cs="Times New Roman" w:eastAsia="Times New Roman" w:hAnsi="Times New Roman"/>
          <w:color w:val="000000"/>
          <w:sz w:val="24"/>
          <w:szCs w:val="24"/>
          <w:rtl w:val="0"/>
        </w:rPr>
        <w:t xml:space="preserve">), el cual será multiplicado por las horas clase de cada asignatura (</w:t>
      </w:r>
      <m:oMath>
        <m:r>
          <w:rPr>
            <w:rFonts w:ascii="Cambria Math" w:cs="Cambria Math" w:eastAsia="Cambria Math" w:hAnsi="Cambria Math"/>
            <w:color w:val="000000"/>
            <w:sz w:val="24"/>
            <w:szCs w:val="24"/>
          </w:rPr>
          <m:t xml:space="preserve">hc(</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A</m:t>
            </m:r>
          </m:e>
          <m:sub>
            <m:r>
              <w:rPr>
                <w:rFonts w:ascii="Cambria Math" w:cs="Cambria Math" w:eastAsia="Cambria Math" w:hAnsi="Cambria Math"/>
                <w:color w:val="000000"/>
                <w:sz w:val="24"/>
                <w:szCs w:val="24"/>
              </w:rPr>
              <m:t xml:space="preserve">i</m:t>
            </m:r>
          </m:sub>
        </m:sSub>
        <m:r>
          <w:rPr>
            <w:rFonts w:ascii="Cambria Math" w:cs="Cambria Math" w:eastAsia="Cambria Math" w:hAnsi="Cambria Math"/>
            <w:color w:val="000000"/>
            <w:sz w:val="24"/>
            <w:szCs w:val="24"/>
          </w:rPr>
          <m:t xml:space="preserve">)</m:t>
        </m:r>
      </m:oMath>
      <w:r w:rsidDel="00000000" w:rsidR="00000000" w:rsidRPr="00000000">
        <w:rPr>
          <w:rFonts w:ascii="Times New Roman" w:cs="Times New Roman" w:eastAsia="Times New Roman" w:hAnsi="Times New Roman"/>
          <w:color w:val="000000"/>
          <w:sz w:val="24"/>
          <w:szCs w:val="24"/>
          <w:rtl w:val="0"/>
        </w:rPr>
        <w:t xml:space="preserve">) para obtener las horas reales (</w:t>
      </w:r>
      <m:oMath>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m:t>
            </m:r>
          </m:sub>
        </m:sSub>
      </m:oMath>
      <w:r w:rsidDel="00000000" w:rsidR="00000000" w:rsidRPr="00000000">
        <w:rPr>
          <w:rFonts w:ascii="Times New Roman" w:cs="Times New Roman" w:eastAsia="Times New Roman" w:hAnsi="Times New Roman"/>
          <w:color w:val="000000"/>
          <w:sz w:val="24"/>
          <w:szCs w:val="24"/>
          <w:rtl w:val="0"/>
        </w:rPr>
        <w:t xml:space="preserve">) que luego serán distribuidas. </w:t>
      </w:r>
    </w:p>
    <w:p w:rsidR="00000000" w:rsidDel="00000000" w:rsidP="00000000" w:rsidRDefault="00000000" w:rsidRPr="00000000" w14:paraId="00000030">
      <w:pPr>
        <w:jc w:val="left"/>
        <w:rPr>
          <w:rFonts w:ascii="Cambria Math" w:cs="Cambria Math" w:eastAsia="Cambria Math" w:hAnsi="Cambria Math"/>
          <w:color w:val="000000"/>
          <w:sz w:val="24"/>
          <w:szCs w:val="24"/>
        </w:rPr>
      </w:pPr>
      <m:oMath>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m:t>
            </m:r>
          </m:sub>
        </m:sSub>
        <m:r>
          <w:rPr>
            <w:rFonts w:ascii="Cambria Math" w:cs="Cambria Math" w:eastAsia="Cambria Math" w:hAnsi="Cambria Math"/>
            <w:color w:val="000000"/>
            <w:sz w:val="24"/>
            <w:szCs w:val="24"/>
          </w:rPr>
          <m:t xml:space="preserve">=</m:t>
        </m:r>
        <m:nary>
          <m:naryPr>
            <m:chr m:val="∑"/>
            <m:ctrlPr>
              <w:rPr>
                <w:rFonts w:ascii="Cambria Math" w:cs="Cambria Math" w:eastAsia="Cambria Math" w:hAnsi="Cambria Math"/>
                <w:color w:val="000000"/>
                <w:sz w:val="24"/>
                <w:szCs w:val="24"/>
              </w:rPr>
            </m:ctrlPr>
          </m:naryPr>
          <m:sub/>
          <m:sup/>
        </m:nary>
        <m:r>
          <w:rPr>
            <w:rFonts w:ascii="Cambria Math" w:cs="Cambria Math" w:eastAsia="Cambria Math" w:hAnsi="Cambria Math"/>
            <w:color w:val="000000"/>
            <w:sz w:val="24"/>
            <w:szCs w:val="24"/>
          </w:rPr>
          <m:t xml:space="preserve">hc</m:t>
        </m:r>
        <m:d>
          <m:dPr>
            <m:begChr m:val="("/>
            <m:endChr m:val=")"/>
            <m:ctrlPr>
              <w:rPr>
                <w:rFonts w:ascii="Cambria Math" w:cs="Cambria Math" w:eastAsia="Cambria Math" w:hAnsi="Cambria Math"/>
                <w:color w:val="000000"/>
                <w:sz w:val="24"/>
                <w:szCs w:val="24"/>
              </w:rPr>
            </m:ctrlPr>
          </m:dPr>
          <m:e>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A</m:t>
                </m:r>
              </m:e>
              <m:sub>
                <m:r>
                  <w:rPr>
                    <w:rFonts w:ascii="Cambria Math" w:cs="Cambria Math" w:eastAsia="Cambria Math" w:hAnsi="Cambria Math"/>
                    <w:color w:val="000000"/>
                    <w:sz w:val="24"/>
                    <w:szCs w:val="24"/>
                  </w:rPr>
                  <m:t xml:space="preserve">i</m:t>
                </m:r>
              </m:sub>
            </m:sSub>
          </m:e>
        </m:d>
        <m:r>
          <w:rPr>
            <w:rFonts w:ascii="Cambria Math" w:cs="Cambria Math" w:eastAsia="Cambria Math" w:hAnsi="Cambria Math"/>
            <w:color w:val="000000"/>
            <w:sz w:val="24"/>
            <w:szCs w:val="24"/>
          </w:rPr>
          <m:t xml:space="preserve">*</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hc</m:t>
            </m:r>
          </m:sub>
        </m:sSub>
        <m:r>
          <w:rPr>
            <w:rFonts w:ascii="Cambria Math" w:cs="Cambria Math" w:eastAsia="Cambria Math" w:hAnsi="Cambria Math"/>
            <w:color w:val="000000"/>
            <w:sz w:val="24"/>
            <w:szCs w:val="24"/>
          </w:rPr>
          <m:t xml:space="preserve">         </m:t>
        </m:r>
      </m:oMath>
      <w:r w:rsidDel="00000000" w:rsidR="00000000" w:rsidRPr="00000000">
        <w:rPr>
          <w:rtl w:val="0"/>
        </w:rPr>
      </w:r>
    </w:p>
    <w:p w:rsidR="00000000" w:rsidDel="00000000" w:rsidP="00000000" w:rsidRDefault="00000000" w:rsidRPr="00000000" w14:paraId="00000031">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 total de estas horas serán comparadas con el fondo de tiempo del período (</w:t>
      </w:r>
      <m:oMath>
        <m:r>
          <w:rPr>
            <w:rFonts w:ascii="Cambria Math" w:cs="Cambria Math" w:eastAsia="Cambria Math" w:hAnsi="Cambria Math"/>
            <w:color w:val="000000"/>
            <w:sz w:val="24"/>
            <w:szCs w:val="24"/>
          </w:rPr>
          <m:t xml:space="preserve">F</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p</m:t>
            </m:r>
          </m:sub>
        </m:sSub>
      </m:oMath>
      <w:r w:rsidDel="00000000" w:rsidR="00000000" w:rsidRPr="00000000">
        <w:rPr>
          <w:rFonts w:ascii="Times New Roman" w:cs="Times New Roman" w:eastAsia="Times New Roman" w:hAnsi="Times New Roman"/>
          <w:color w:val="000000"/>
          <w:sz w:val="24"/>
          <w:szCs w:val="24"/>
          <w:rtl w:val="0"/>
        </w:rPr>
        <w:t xml:space="preserve">) para garantizar siempre el mejor ajuste a este y así no tener subutilización o sobrecarga de tiempo </w:t>
      </w:r>
      <m:oMath>
        <m:nary>
          <m:naryPr>
            <m:chr m:val="∑"/>
          </m:naryPr>
          <m:sub/>
          <m:sup/>
        </m:nary>
        <m:sSub>
          <m:sSubPr>
            <m:ctrlPr>
              <w:rPr>
                <w:rFonts w:ascii="Cambria Math" w:cs="Cambria Math" w:eastAsia="Cambria Math" w:hAnsi="Cambria Math"/>
                <w:color w:val="000000"/>
                <w:sz w:val="24"/>
                <w:szCs w:val="24"/>
              </w:rPr>
            </m:ctrlPr>
          </m:sSubPr>
          <m:e>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m:t>
                </m:r>
              </m:sub>
            </m:sSub>
          </m:e>
          <m:sub>
            <m:r>
              <w:rPr>
                <w:rFonts w:ascii="Cambria Math" w:cs="Cambria Math" w:eastAsia="Cambria Math" w:hAnsi="Cambria Math"/>
                <w:color w:val="000000"/>
                <w:sz w:val="24"/>
                <w:szCs w:val="24"/>
              </w:rPr>
              <m:t xml:space="preserve">i</m:t>
            </m:r>
          </m:sub>
        </m:sSub>
        <m:r>
          <w:rPr>
            <w:rFonts w:ascii="Cambria Math" w:cs="Cambria Math" w:eastAsia="Cambria Math" w:hAnsi="Cambria Math"/>
            <w:color w:val="000000"/>
            <w:sz w:val="24"/>
            <w:szCs w:val="24"/>
          </w:rPr>
          <m:t xml:space="preserve">≤F</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p</m:t>
            </m:r>
          </m:sub>
        </m:sSub>
      </m:oMath>
      <w:r w:rsidDel="00000000" w:rsidR="00000000" w:rsidRPr="00000000">
        <w:rPr>
          <w:rFonts w:ascii="Times New Roman" w:cs="Times New Roman" w:eastAsia="Times New Roman" w:hAnsi="Times New Roman"/>
          <w:color w:val="000000"/>
          <w:sz w:val="24"/>
          <w:szCs w:val="24"/>
          <w:rtl w:val="0"/>
        </w:rPr>
        <w:t xml:space="preserve">. </w:t>
      </w:r>
      <m:oMath>
        <m:r>
          <w:rPr>
            <w:rFonts w:ascii="Cambria Math" w:cs="Cambria Math" w:eastAsia="Cambria Math" w:hAnsi="Cambria Math"/>
            <w:color w:val="000000"/>
            <w:sz w:val="24"/>
            <w:szCs w:val="24"/>
          </w:rPr>
          <m:t xml:space="preserve">0.8≤</m:t>
        </m:r>
        <m:f>
          <m:fPr>
            <m:ctrlPr>
              <w:rPr>
                <w:rFonts w:ascii="Cambria Math" w:cs="Cambria Math" w:eastAsia="Cambria Math" w:hAnsi="Cambria Math"/>
                <w:color w:val="000000"/>
                <w:sz w:val="24"/>
                <w:szCs w:val="24"/>
              </w:rPr>
            </m:ctrlPr>
          </m:fPr>
          <m:num>
            <m:nary>
              <m:naryPr>
                <m:chr m:val="∑"/>
                <m:ctrlPr>
                  <w:rPr>
                    <w:rFonts w:ascii="Cambria Math" w:cs="Cambria Math" w:eastAsia="Cambria Math" w:hAnsi="Cambria Math"/>
                    <w:color w:val="000000"/>
                    <w:sz w:val="24"/>
                    <w:szCs w:val="24"/>
                  </w:rPr>
                </m:ctrlPr>
              </m:naryPr>
              <m:sub/>
              <m:sup/>
            </m:nary>
            <m:sSub>
              <m:sSubPr>
                <m:ctrlPr>
                  <w:rPr>
                    <w:rFonts w:ascii="Cambria Math" w:cs="Cambria Math" w:eastAsia="Cambria Math" w:hAnsi="Cambria Math"/>
                    <w:color w:val="000000"/>
                    <w:sz w:val="24"/>
                    <w:szCs w:val="24"/>
                  </w:rPr>
                </m:ctrlPr>
              </m:sSubPr>
              <m:e>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m:t>
                    </m:r>
                  </m:sub>
                </m:sSub>
              </m:e>
              <m:sub>
                <m:r>
                  <w:rPr>
                    <w:rFonts w:ascii="Cambria Math" w:cs="Cambria Math" w:eastAsia="Cambria Math" w:hAnsi="Cambria Math"/>
                    <w:color w:val="000000"/>
                    <w:sz w:val="24"/>
                    <w:szCs w:val="24"/>
                  </w:rPr>
                  <m:t xml:space="preserve">i</m:t>
                </m:r>
              </m:sub>
            </m:sSub>
          </m:num>
          <m:den>
            <m:r>
              <w:rPr>
                <w:rFonts w:ascii="Cambria Math" w:cs="Cambria Math" w:eastAsia="Cambria Math" w:hAnsi="Cambria Math"/>
                <w:color w:val="000000"/>
                <w:sz w:val="24"/>
                <w:szCs w:val="24"/>
              </w:rPr>
              <m:t xml:space="preserve">F</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p</m:t>
                </m:r>
              </m:sub>
            </m:sSub>
          </m:den>
        </m:f>
        <m:r>
          <w:rPr>
            <w:rFonts w:ascii="Cambria Math" w:cs="Cambria Math" w:eastAsia="Cambria Math" w:hAnsi="Cambria Math"/>
            <w:color w:val="000000"/>
            <w:sz w:val="24"/>
            <w:szCs w:val="24"/>
          </w:rPr>
          <m:t xml:space="preserve">≤1  . </m:t>
        </m:r>
      </m:oMath>
      <w:r w:rsidDel="00000000" w:rsidR="00000000" w:rsidRPr="00000000">
        <w:rPr>
          <w:rFonts w:ascii="Times New Roman" w:cs="Times New Roman" w:eastAsia="Times New Roman" w:hAnsi="Times New Roman"/>
          <w:color w:val="000000"/>
          <w:sz w:val="24"/>
          <w:szCs w:val="24"/>
          <w:rtl w:val="0"/>
        </w:rPr>
        <w:t xml:space="preserve">El aprovechamiento óptimo rondará entre 0.8 y 1. A estos elementos determinados se le dominará </w:t>
      </w:r>
      <w:r w:rsidDel="00000000" w:rsidR="00000000" w:rsidRPr="00000000">
        <w:rPr>
          <w:rFonts w:ascii="Times New Roman" w:cs="Times New Roman" w:eastAsia="Times New Roman" w:hAnsi="Times New Roman"/>
          <w:b w:val="0"/>
          <w:color w:val="000000"/>
          <w:sz w:val="24"/>
          <w:szCs w:val="24"/>
          <w:rtl w:val="0"/>
        </w:rPr>
        <w:t xml:space="preserve">Asignaturas del período</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2">
      <w:pPr>
        <w:pStyle w:val="Heading3"/>
        <w:spacing w:after="0" w:before="0" w:line="360" w:lineRule="auto"/>
        <w:jc w:val="both"/>
        <w:rPr>
          <w:rFonts w:ascii="Times New Roman" w:cs="Times New Roman" w:eastAsia="Times New Roman" w:hAnsi="Times New Roman"/>
          <w:b w:val="0"/>
          <w:color w:val="000000"/>
          <w:sz w:val="24"/>
          <w:szCs w:val="24"/>
        </w:rPr>
      </w:pPr>
      <w:bookmarkStart w:colFirst="0" w:colLast="0" w:name="_1fob9te" w:id="2"/>
      <w:bookmarkEnd w:id="2"/>
      <w:r w:rsidDel="00000000" w:rsidR="00000000" w:rsidRPr="00000000">
        <w:rPr>
          <w:rFonts w:ascii="Times New Roman" w:cs="Times New Roman" w:eastAsia="Times New Roman" w:hAnsi="Times New Roman"/>
          <w:b w:val="0"/>
          <w:color w:val="000000"/>
          <w:sz w:val="24"/>
          <w:szCs w:val="24"/>
          <w:rtl w:val="0"/>
        </w:rPr>
        <w:t xml:space="preserve">II. Planificación específica</w:t>
      </w:r>
    </w:p>
    <w:p w:rsidR="00000000" w:rsidDel="00000000" w:rsidP="00000000" w:rsidRDefault="00000000" w:rsidRPr="00000000" w14:paraId="00000033">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el paso de planificación específica se establecerá (por cada curso y en el marco de un período), qué tipo de actividad se realizará por cada una de las asignaturas del período determinada en la subetapa anterior. Los tipos de actividad pueden ser: (Conferencia, Clase práctica, Clase teórica-práctica, Seminario, Laboral. Taller. Laboratorio, Clase encuentro, Curso de posgrado, Otra modalidad).</w:t>
      </w:r>
    </w:p>
    <w:p w:rsidR="00000000" w:rsidDel="00000000" w:rsidP="00000000" w:rsidRDefault="00000000" w:rsidRPr="00000000" w14:paraId="00000034">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Además, se especificará la cantidad de horas clase que </w:t>
      </w:r>
      <w:r w:rsidDel="00000000" w:rsidR="00000000" w:rsidRPr="00000000">
        <w:rPr>
          <w:rFonts w:ascii="Times New Roman" w:cs="Times New Roman" w:eastAsia="Times New Roman" w:hAnsi="Times New Roman"/>
          <w:color w:val="000000"/>
          <w:sz w:val="24"/>
          <w:szCs w:val="24"/>
          <w:rtl w:val="0"/>
        </w:rPr>
        <w:t xml:space="preserve">conllevará</w:t>
      </w:r>
      <w:r w:rsidDel="00000000" w:rsidR="00000000" w:rsidRPr="00000000">
        <w:rPr>
          <w:rFonts w:ascii="Times New Roman" w:cs="Times New Roman" w:eastAsia="Times New Roman" w:hAnsi="Times New Roman"/>
          <w:color w:val="000000"/>
          <w:sz w:val="24"/>
          <w:szCs w:val="24"/>
          <w:rtl w:val="0"/>
        </w:rPr>
        <w:t xml:space="preserve"> dicha actividad y a qué cantidad de grupos se involucran. Se realiza esta indicación debido a que en ciertos tipos de actividades no siempre se realizan a los grupos individualmente, sino que existe la posibilidad de fusionarlos para maximizar el alcance de las mismas. Esto provoca que se necesite menos tiempo del profesor. Por lo tanto, para determinar el tiempo necesario del elemento </w:t>
      </w:r>
      <m:oMath>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RT</m:t>
            </m:r>
          </m:sub>
        </m:sSub>
      </m:oMath>
      <w:r w:rsidDel="00000000" w:rsidR="00000000" w:rsidRPr="00000000">
        <w:rPr>
          <w:rFonts w:ascii="Times New Roman" w:cs="Times New Roman" w:eastAsia="Times New Roman" w:hAnsi="Times New Roman"/>
          <w:color w:val="000000"/>
          <w:sz w:val="24"/>
          <w:szCs w:val="24"/>
          <w:rtl w:val="0"/>
        </w:rPr>
        <w:t xml:space="preserve"> para realizar la actividad se realiza la conversión de horas clase (</w:t>
      </w:r>
      <m:oMath>
        <m:r>
          <w:rPr>
            <w:rFonts w:ascii="Cambria Math" w:cs="Cambria Math" w:eastAsia="Cambria Math" w:hAnsi="Cambria Math"/>
            <w:color w:val="000000"/>
            <w:sz w:val="24"/>
            <w:szCs w:val="24"/>
          </w:rPr>
          <m:t xml:space="preserve">hc(a)</m:t>
        </m:r>
      </m:oMath>
      <w:r w:rsidDel="00000000" w:rsidR="00000000" w:rsidRPr="00000000">
        <w:rPr>
          <w:rFonts w:ascii="Times New Roman" w:cs="Times New Roman" w:eastAsia="Times New Roman" w:hAnsi="Times New Roman"/>
          <w:color w:val="000000"/>
          <w:sz w:val="24"/>
          <w:szCs w:val="24"/>
          <w:rtl w:val="0"/>
        </w:rPr>
        <w:t xml:space="preserve">) a horas reales (</w:t>
      </w:r>
      <m:oMath>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Ra</m:t>
            </m:r>
          </m:sub>
        </m:sSub>
      </m:oMath>
      <w:r w:rsidDel="00000000" w:rsidR="00000000" w:rsidRPr="00000000">
        <w:rPr>
          <w:rFonts w:ascii="Times New Roman" w:cs="Times New Roman" w:eastAsia="Times New Roman" w:hAnsi="Times New Roman"/>
          <w:color w:val="000000"/>
          <w:sz w:val="24"/>
          <w:szCs w:val="24"/>
          <w:rtl w:val="0"/>
        </w:rPr>
        <w:t xml:space="preserve">) y se multiplica por la cantidad de grupos (</w:t>
      </w:r>
      <m:oMath>
        <m:r>
          <w:rPr>
            <w:rFonts w:ascii="Cambria Math" w:cs="Cambria Math" w:eastAsia="Cambria Math" w:hAnsi="Cambria Math"/>
            <w:color w:val="000000"/>
            <w:sz w:val="24"/>
            <w:szCs w:val="24"/>
          </w:rPr>
          <m:t xml:space="preserve">g</m:t>
        </m:r>
      </m:oMath>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5">
      <w:pPr>
        <w:jc w:val="left"/>
        <w:rPr>
          <w:rFonts w:ascii="Cambria Math" w:cs="Cambria Math" w:eastAsia="Cambria Math" w:hAnsi="Cambria Math"/>
          <w:color w:val="000000"/>
          <w:sz w:val="24"/>
          <w:szCs w:val="24"/>
        </w:rPr>
      </w:pPr>
      <m:oMath>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Ra</m:t>
            </m:r>
          </m:sub>
        </m:sSub>
        <m:r>
          <w:rPr>
            <w:rFonts w:ascii="Cambria Math" w:cs="Cambria Math" w:eastAsia="Cambria Math" w:hAnsi="Cambria Math"/>
            <w:color w:val="000000"/>
            <w:sz w:val="24"/>
            <w:szCs w:val="24"/>
          </w:rPr>
          <m:t xml:space="preserve">=hc</m:t>
        </m:r>
        <m:d>
          <m:dPr>
            <m:begChr m:val="("/>
            <m:endChr m:val=")"/>
            <m:ctrlPr>
              <w:rPr>
                <w:rFonts w:ascii="Cambria Math" w:cs="Cambria Math" w:eastAsia="Cambria Math" w:hAnsi="Cambria Math"/>
                <w:color w:val="000000"/>
                <w:sz w:val="24"/>
                <w:szCs w:val="24"/>
              </w:rPr>
            </m:ctrlPr>
          </m:dPr>
          <m:e>
            <m:r>
              <w:rPr>
                <w:rFonts w:ascii="Cambria Math" w:cs="Cambria Math" w:eastAsia="Cambria Math" w:hAnsi="Cambria Math"/>
                <w:color w:val="000000"/>
                <w:sz w:val="24"/>
                <w:szCs w:val="24"/>
              </w:rPr>
              <m:t xml:space="preserve">a</m:t>
            </m:r>
          </m:e>
        </m:d>
        <m:r>
          <w:rPr>
            <w:rFonts w:ascii="Cambria Math" w:cs="Cambria Math" w:eastAsia="Cambria Math" w:hAnsi="Cambria Math"/>
            <w:color w:val="000000"/>
            <w:sz w:val="24"/>
            <w:szCs w:val="24"/>
          </w:rPr>
          <m:t xml:space="preserve">*</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hc</m:t>
            </m:r>
          </m:sub>
        </m:sSub>
        <m:r>
          <w:rPr>
            <w:rFonts w:ascii="Cambria Math" w:cs="Cambria Math" w:eastAsia="Cambria Math" w:hAnsi="Cambria Math"/>
            <w:color w:val="000000"/>
            <w:sz w:val="24"/>
            <w:szCs w:val="24"/>
          </w:rPr>
          <m:t xml:space="preserve">          </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RT</m:t>
            </m:r>
          </m:sub>
        </m:sSub>
        <m:r>
          <w:rPr>
            <w:rFonts w:ascii="Cambria Math" w:cs="Cambria Math" w:eastAsia="Cambria Math" w:hAnsi="Cambria Math"/>
            <w:color w:val="000000"/>
            <w:sz w:val="24"/>
            <w:szCs w:val="24"/>
          </w:rPr>
          <m:t xml:space="preserve">=</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Ra</m:t>
            </m:r>
          </m:sub>
        </m:sSub>
        <m:r>
          <w:rPr>
            <w:rFonts w:ascii="Cambria Math" w:cs="Cambria Math" w:eastAsia="Cambria Math" w:hAnsi="Cambria Math"/>
            <w:color w:val="000000"/>
            <w:sz w:val="24"/>
            <w:szCs w:val="24"/>
          </w:rPr>
          <m:t xml:space="preserve">*g</m:t>
        </m:r>
      </m:oMath>
      <w:r w:rsidDel="00000000" w:rsidR="00000000" w:rsidRPr="00000000">
        <w:rPr>
          <w:rtl w:val="0"/>
        </w:rPr>
      </w:r>
    </w:p>
    <w:p w:rsidR="00000000" w:rsidDel="00000000" w:rsidP="00000000" w:rsidRDefault="00000000" w:rsidRPr="00000000" w14:paraId="00000036">
      <w:pPr>
        <w:spacing w:after="0" w:line="360" w:lineRule="auto"/>
        <w:jc w:val="both"/>
        <w:rPr>
          <w:rFonts w:ascii="Times New Roman" w:cs="Times New Roman" w:eastAsia="Times New Roman" w:hAnsi="Times New Roman"/>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suma de las horas reales totales de las actividades planificadas se compara con las horas planificadas en el paso anterior (</w:t>
      </w:r>
      <m:oMath>
        <m:nary>
          <m:naryPr>
            <m:chr m:val="∑"/>
          </m:naryPr>
          <m:sub/>
          <m:sup/>
        </m:nary>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m:t>
            </m:r>
          </m:sub>
        </m:sSub>
      </m:oMath>
      <w:r w:rsidDel="00000000" w:rsidR="00000000" w:rsidRPr="00000000">
        <w:rPr>
          <w:rFonts w:ascii="Times New Roman" w:cs="Times New Roman" w:eastAsia="Times New Roman" w:hAnsi="Times New Roman"/>
          <w:color w:val="000000"/>
          <w:sz w:val="24"/>
          <w:szCs w:val="24"/>
          <w:rtl w:val="0"/>
        </w:rPr>
        <w:t xml:space="preserve">) teniendo que ser iguales, significando esto que se planificaron actividades para el 100% de las asignaturas del período. </w:t>
      </w:r>
      <m:oMath>
        <m:f>
          <m:num>
            <m:nary>
              <m:naryPr>
                <m:chr m:val="∑"/>
              </m:naryPr>
              <m:sub/>
              <m:sup/>
            </m:nary>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T</m:t>
                    </m:r>
                  </m:e>
                  <m:sub>
                    <m:r>
                      <w:rPr>
                        <w:rFonts w:ascii="Cambria Math" w:cs="Cambria Math" w:eastAsia="Cambria Math" w:hAnsi="Cambria Math"/>
                        <w:color w:val="000000"/>
                        <w:sz w:val="24"/>
                        <w:szCs w:val="24"/>
                      </w:rPr>
                      <m:t xml:space="preserve">i</m:t>
                    </m:r>
                  </m:sub>
                </m:sSub>
              </m:sub>
            </m:sSub>
          </m:num>
          <m:den>
            <m:sSub>
              <m:sSubPr>
                <m:ctrlPr>
                  <w:rPr>
                    <w:rFonts w:ascii="Cambria Math" w:cs="Cambria Math" w:eastAsia="Cambria Math" w:hAnsi="Cambria Math"/>
                    <w:color w:val="000000"/>
                    <w:sz w:val="24"/>
                    <w:szCs w:val="24"/>
                  </w:rPr>
                </m:ctrlPr>
              </m:sSubPr>
              <m:e>
                <m:nary>
                  <m:naryPr>
                    <m:chr m:val="∑"/>
                    <m:ctrlPr>
                      <w:rPr>
                        <w:rFonts w:ascii="Cambria Math" w:cs="Cambria Math" w:eastAsia="Cambria Math" w:hAnsi="Cambria Math"/>
                        <w:color w:val="000000"/>
                        <w:sz w:val="24"/>
                        <w:szCs w:val="24"/>
                      </w:rPr>
                    </m:ctrlPr>
                  </m:naryPr>
                  <m:sub/>
                  <m:sup/>
                </m:nary>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H</m:t>
                    </m:r>
                  </m:e>
                  <m:sub>
                    <m:r>
                      <w:rPr>
                        <w:rFonts w:ascii="Cambria Math" w:cs="Cambria Math" w:eastAsia="Cambria Math" w:hAnsi="Cambria Math"/>
                        <w:color w:val="000000"/>
                        <w:sz w:val="24"/>
                        <w:szCs w:val="24"/>
                      </w:rPr>
                      <m:t xml:space="preserve">R</m:t>
                    </m:r>
                  </m:sub>
                </m:sSub>
              </m:e>
              <m:sub>
                <m:r>
                  <w:rPr>
                    <w:rFonts w:ascii="Cambria Math" w:cs="Cambria Math" w:eastAsia="Cambria Math" w:hAnsi="Cambria Math"/>
                    <w:color w:val="000000"/>
                    <w:sz w:val="24"/>
                    <w:szCs w:val="24"/>
                  </w:rPr>
                  <m:t xml:space="preserve">i</m:t>
                </m:r>
              </m:sub>
            </m:sSub>
          </m:den>
        </m:f>
        <m:r>
          <w:rPr>
            <w:rFonts w:ascii="Cambria Math" w:cs="Cambria Math" w:eastAsia="Cambria Math" w:hAnsi="Cambria Math"/>
            <w:color w:val="000000"/>
            <w:sz w:val="24"/>
            <w:szCs w:val="24"/>
          </w:rPr>
          <m:t xml:space="preserve">=1          </m:t>
        </m:r>
      </m:oMath>
      <w:r w:rsidDel="00000000" w:rsidR="00000000" w:rsidRPr="00000000">
        <w:rPr>
          <w:rtl w:val="0"/>
        </w:rPr>
      </w:r>
    </w:p>
    <w:p w:rsidR="00000000" w:rsidDel="00000000" w:rsidP="00000000" w:rsidRDefault="00000000" w:rsidRPr="00000000" w14:paraId="00000037">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estos elementos determinados se le dominará </w:t>
      </w:r>
      <w:r w:rsidDel="00000000" w:rsidR="00000000" w:rsidRPr="00000000">
        <w:rPr>
          <w:rFonts w:ascii="Times New Roman" w:cs="Times New Roman" w:eastAsia="Times New Roman" w:hAnsi="Times New Roman"/>
          <w:b w:val="0"/>
          <w:color w:val="000000"/>
          <w:sz w:val="24"/>
          <w:szCs w:val="24"/>
          <w:rtl w:val="0"/>
        </w:rPr>
        <w:t xml:space="preserve">Elementos de planificación</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8">
      <w:pPr>
        <w:pStyle w:val="Heading2"/>
        <w:spacing w:after="0" w:before="0" w:line="360" w:lineRule="auto"/>
        <w:jc w:val="both"/>
        <w:rPr>
          <w:rFonts w:ascii="Times New Roman" w:cs="Times New Roman" w:eastAsia="Times New Roman" w:hAnsi="Times New Roman"/>
          <w:i w:val="0"/>
          <w:color w:val="000000"/>
          <w:sz w:val="24"/>
          <w:szCs w:val="24"/>
        </w:rPr>
      </w:pPr>
      <w:r w:rsidDel="00000000" w:rsidR="00000000" w:rsidRPr="00000000">
        <w:rPr>
          <w:rFonts w:ascii="Times New Roman" w:cs="Times New Roman" w:eastAsia="Times New Roman" w:hAnsi="Times New Roman"/>
          <w:i w:val="0"/>
          <w:color w:val="000000"/>
          <w:sz w:val="24"/>
          <w:szCs w:val="24"/>
          <w:rtl w:val="0"/>
        </w:rPr>
        <w:t xml:space="preserve">Etapa II. Distribución</w:t>
      </w:r>
    </w:p>
    <w:p w:rsidR="00000000" w:rsidDel="00000000" w:rsidP="00000000" w:rsidRDefault="00000000" w:rsidRPr="00000000" w14:paraId="00000039">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esta etapa se realizará la distribución de toda la </w:t>
      </w:r>
      <w:r w:rsidDel="00000000" w:rsidR="00000000" w:rsidRPr="00000000">
        <w:rPr>
          <w:rFonts w:ascii="Times New Roman" w:cs="Times New Roman" w:eastAsia="Times New Roman" w:hAnsi="Times New Roman"/>
          <w:b w:val="0"/>
          <w:color w:val="000000"/>
          <w:sz w:val="24"/>
          <w:szCs w:val="24"/>
          <w:rtl w:val="0"/>
        </w:rPr>
        <w:t xml:space="preserve">carga directa</w:t>
      </w:r>
      <w:r w:rsidDel="00000000" w:rsidR="00000000" w:rsidRPr="00000000">
        <w:rPr>
          <w:rFonts w:ascii="Times New Roman" w:cs="Times New Roman" w:eastAsia="Times New Roman" w:hAnsi="Times New Roman"/>
          <w:color w:val="000000"/>
          <w:sz w:val="24"/>
          <w:szCs w:val="24"/>
          <w:rtl w:val="0"/>
        </w:rPr>
        <w:t xml:space="preserve"> generada en la etapa de planificación y establecida en los </w:t>
      </w:r>
      <w:r w:rsidDel="00000000" w:rsidR="00000000" w:rsidRPr="00000000">
        <w:rPr>
          <w:rFonts w:ascii="Times New Roman" w:cs="Times New Roman" w:eastAsia="Times New Roman" w:hAnsi="Times New Roman"/>
          <w:b w:val="0"/>
          <w:color w:val="000000"/>
          <w:sz w:val="24"/>
          <w:szCs w:val="24"/>
          <w:rtl w:val="0"/>
        </w:rPr>
        <w:t xml:space="preserve">elementos de planificación</w:t>
      </w:r>
      <w:r w:rsidDel="00000000" w:rsidR="00000000" w:rsidRPr="00000000">
        <w:rPr>
          <w:rFonts w:ascii="Times New Roman" w:cs="Times New Roman" w:eastAsia="Times New Roman" w:hAnsi="Times New Roman"/>
          <w:color w:val="000000"/>
          <w:sz w:val="24"/>
          <w:szCs w:val="24"/>
          <w:rtl w:val="0"/>
        </w:rPr>
        <w:t xml:space="preserve">. Además, se calcularán y determinarán los elementos de </w:t>
      </w:r>
      <w:r w:rsidDel="00000000" w:rsidR="00000000" w:rsidRPr="00000000">
        <w:rPr>
          <w:rFonts w:ascii="Times New Roman" w:cs="Times New Roman" w:eastAsia="Times New Roman" w:hAnsi="Times New Roman"/>
          <w:b w:val="0"/>
          <w:color w:val="000000"/>
          <w:sz w:val="24"/>
          <w:szCs w:val="24"/>
          <w:rtl w:val="0"/>
        </w:rPr>
        <w:t xml:space="preserve">carga indirecta</w:t>
      </w:r>
      <w:r w:rsidDel="00000000" w:rsidR="00000000" w:rsidRPr="00000000">
        <w:rPr>
          <w:rFonts w:ascii="Times New Roman" w:cs="Times New Roman" w:eastAsia="Times New Roman" w:hAnsi="Times New Roman"/>
          <w:color w:val="000000"/>
          <w:sz w:val="24"/>
          <w:szCs w:val="24"/>
          <w:rtl w:val="0"/>
        </w:rPr>
        <w:t xml:space="preserve"> del personal. La distribución será realizada por los jefes de departamento, los cuales son los máximos responsables por la gestión del personal docente de dicha unidad organizativa. Por lo tanto, estos solamente distribuirán la carga de los elementos de asignaturas que pertenecen a las disciplinas que el departamento gestiona. Este proceso se realiza por cursos, en el marco de un período y consta de dos pasos: Distribución de la carga directa y Cálculo, determinación y asignación de las cargas indirectas individuales. El documento primario a </w:t>
      </w:r>
      <w:r w:rsidDel="00000000" w:rsidR="00000000" w:rsidRPr="00000000">
        <w:rPr>
          <w:rFonts w:ascii="Times New Roman" w:cs="Times New Roman" w:eastAsia="Times New Roman" w:hAnsi="Times New Roman"/>
          <w:sz w:val="24"/>
          <w:szCs w:val="24"/>
          <w:rtl w:val="0"/>
        </w:rPr>
        <w:t xml:space="preserve">tener en cuenta</w:t>
      </w:r>
      <w:r w:rsidDel="00000000" w:rsidR="00000000" w:rsidRPr="00000000">
        <w:rPr>
          <w:rFonts w:ascii="Times New Roman" w:cs="Times New Roman" w:eastAsia="Times New Roman" w:hAnsi="Times New Roman"/>
          <w:color w:val="000000"/>
          <w:sz w:val="24"/>
          <w:szCs w:val="24"/>
          <w:rtl w:val="0"/>
        </w:rPr>
        <w:t xml:space="preserve"> será el P1.</w:t>
      </w:r>
    </w:p>
    <w:p w:rsidR="00000000" w:rsidDel="00000000" w:rsidP="00000000" w:rsidRDefault="00000000" w:rsidRPr="00000000" w14:paraId="0000003A">
      <w:pPr>
        <w:pStyle w:val="Heading3"/>
        <w:spacing w:after="0" w:before="0" w:line="360" w:lineRule="auto"/>
        <w:jc w:val="both"/>
        <w:rPr>
          <w:rFonts w:ascii="Times New Roman" w:cs="Times New Roman" w:eastAsia="Times New Roman" w:hAnsi="Times New Roman"/>
          <w:b w:val="0"/>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b w:val="0"/>
          <w:color w:val="000000"/>
          <w:sz w:val="24"/>
          <w:szCs w:val="24"/>
          <w:rtl w:val="0"/>
        </w:rPr>
        <w:t xml:space="preserve">I. Distribución de la carga directa</w:t>
      </w:r>
    </w:p>
    <w:p w:rsidR="00000000" w:rsidDel="00000000" w:rsidP="00000000" w:rsidRDefault="00000000" w:rsidRPr="00000000" w14:paraId="0000003B">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este paso se procede a asignar tiempo de los elementos de planificación al personal docente del departamento. Se realiza recorriendo los elementos de planificación que le corresponden al departamento en función de las asignaturas y las disciplinas del departamento que las gestionan. Dentro del marco de un período y a cada curso. </w:t>
      </w:r>
    </w:p>
    <w:p w:rsidR="00000000" w:rsidDel="00000000" w:rsidP="00000000" w:rsidRDefault="00000000" w:rsidRPr="00000000" w14:paraId="0000003C">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Para la distribución se tiene como parámetro fundamental que el profesor imparta asignaturas de la disciplina a la que pertenece el elemento de planificación. Una vez comprobados todos estos parámetros se procede a realizar la asignación de tiempo al profesor del elemento en cuestión, pudiéndosele asignar el 100% del mismo o solo una parte, compartiéndolo con otro docente. A esta asignación de tiempo de un elemento de planificación a un profesor se le llamará </w:t>
      </w:r>
      <w:r w:rsidDel="00000000" w:rsidR="00000000" w:rsidRPr="00000000">
        <w:rPr>
          <w:rFonts w:ascii="Times New Roman" w:cs="Times New Roman" w:eastAsia="Times New Roman" w:hAnsi="Times New Roman"/>
          <w:b w:val="0"/>
          <w:color w:val="000000"/>
          <w:sz w:val="24"/>
          <w:szCs w:val="24"/>
          <w:rtl w:val="0"/>
        </w:rPr>
        <w:t xml:space="preserve">elemento de carga directa</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3D">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Es importante tener en cuenta una vez terminada la distribución total de tiempo de un elemento de planificación (</w:t>
      </w:r>
      <m:oMath>
        <m:r>
          <w:rPr>
            <w:rFonts w:ascii="Cambria Math" w:cs="Cambria Math" w:eastAsia="Cambria Math" w:hAnsi="Cambria Math"/>
            <w:color w:val="000000"/>
            <w:sz w:val="24"/>
            <w:szCs w:val="24"/>
          </w:rPr>
          <m:t xml:space="preserve">p</m:t>
        </m:r>
      </m:oMath>
      <w:r w:rsidDel="00000000" w:rsidR="00000000" w:rsidRPr="00000000">
        <w:rPr>
          <w:rFonts w:ascii="Times New Roman" w:cs="Times New Roman" w:eastAsia="Times New Roman" w:hAnsi="Times New Roman"/>
          <w:color w:val="000000"/>
          <w:sz w:val="24"/>
          <w:szCs w:val="24"/>
          <w:rtl w:val="0"/>
        </w:rPr>
        <w:t xml:space="preserve">), que la suma del tiempo de los elementos de carga generados (</w:t>
      </w:r>
      <m:oMath>
        <m:r>
          <w:rPr>
            <w:rFonts w:ascii="Cambria Math" w:cs="Cambria Math" w:eastAsia="Cambria Math" w:hAnsi="Cambria Math"/>
            <w:color w:val="000000"/>
            <w:sz w:val="24"/>
            <w:szCs w:val="24"/>
          </w:rPr>
          <m:t xml:space="preserve">t(c)</m:t>
        </m:r>
      </m:oMath>
      <w:r w:rsidDel="00000000" w:rsidR="00000000" w:rsidRPr="00000000">
        <w:rPr>
          <w:rFonts w:ascii="Times New Roman" w:cs="Times New Roman" w:eastAsia="Times New Roman" w:hAnsi="Times New Roman"/>
          <w:color w:val="000000"/>
          <w:sz w:val="24"/>
          <w:szCs w:val="24"/>
          <w:rtl w:val="0"/>
        </w:rPr>
        <w:t xml:space="preserve">) sea igual al tiempo de este (</w:t>
      </w:r>
      <m:oMath>
        <m:r>
          <w:rPr>
            <w:rFonts w:ascii="Cambria Math" w:cs="Cambria Math" w:eastAsia="Cambria Math" w:hAnsi="Cambria Math"/>
            <w:color w:val="000000"/>
            <w:sz w:val="24"/>
            <w:szCs w:val="24"/>
          </w:rPr>
          <m:t xml:space="preserve">t(p)</m:t>
        </m:r>
      </m:oMath>
      <w:r w:rsidDel="00000000" w:rsidR="00000000" w:rsidRPr="00000000">
        <w:rPr>
          <w:rFonts w:ascii="Times New Roman" w:cs="Times New Roman" w:eastAsia="Times New Roman" w:hAnsi="Times New Roman"/>
          <w:color w:val="000000"/>
          <w:sz w:val="24"/>
          <w:szCs w:val="24"/>
          <w:rtl w:val="0"/>
        </w:rPr>
        <w:t xml:space="preserve">). Esto garantiza que todo lo planificado esté cubierto por personal docente.</w:t>
      </w:r>
    </w:p>
    <w:p w:rsidR="00000000" w:rsidDel="00000000" w:rsidP="00000000" w:rsidRDefault="00000000" w:rsidRPr="00000000" w14:paraId="0000003E">
      <w:pPr>
        <w:spacing w:after="0" w:line="360" w:lineRule="auto"/>
        <w:jc w:val="both"/>
        <w:rPr>
          <w:rFonts w:ascii="Times New Roman" w:cs="Times New Roman" w:eastAsia="Times New Roman" w:hAnsi="Times New Roman"/>
          <w:color w:val="000000"/>
          <w:sz w:val="24"/>
          <w:szCs w:val="24"/>
        </w:rPr>
      </w:pPr>
      <m:oMath>
        <m:nary>
          <m:naryPr>
            <m:chr m:val="∑"/>
          </m:naryPr>
          <m:sub/>
          <m:sup/>
        </m:nary>
        <m:r>
          <w:rPr>
            <w:rFonts w:ascii="Cambria Math" w:cs="Cambria Math" w:eastAsia="Cambria Math" w:hAnsi="Cambria Math"/>
            <w:color w:val="000000"/>
            <w:sz w:val="24"/>
            <w:szCs w:val="24"/>
          </w:rPr>
          <m:t xml:space="preserve">t(</m:t>
        </m:r>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i</m:t>
            </m:r>
          </m:sub>
        </m:sSub>
        <m:r>
          <w:rPr>
            <w:rFonts w:ascii="Cambria Math" w:cs="Cambria Math" w:eastAsia="Cambria Math" w:hAnsi="Cambria Math"/>
            <w:color w:val="000000"/>
            <w:sz w:val="24"/>
            <w:szCs w:val="24"/>
          </w:rPr>
          <m:t xml:space="preserve">)=t</m:t>
        </m:r>
        <m:d>
          <m:dPr>
            <m:begChr m:val="("/>
            <m:endChr m:val=")"/>
            <m:ctrlPr>
              <w:rPr>
                <w:rFonts w:ascii="Cambria Math" w:cs="Cambria Math" w:eastAsia="Cambria Math" w:hAnsi="Cambria Math"/>
                <w:color w:val="000000"/>
                <w:sz w:val="24"/>
                <w:szCs w:val="24"/>
              </w:rPr>
            </m:ctrlPr>
          </m:dPr>
          <m:e>
            <m:r>
              <w:rPr>
                <w:rFonts w:ascii="Cambria Math" w:cs="Cambria Math" w:eastAsia="Cambria Math" w:hAnsi="Cambria Math"/>
                <w:color w:val="000000"/>
                <w:sz w:val="24"/>
                <w:szCs w:val="24"/>
              </w:rPr>
              <m:t xml:space="preserve">p</m:t>
            </m:r>
          </m:e>
        </m:d>
        <m:r>
          <w:rPr>
            <w:rFonts w:ascii="Cambria Math" w:cs="Cambria Math" w:eastAsia="Cambria Math" w:hAnsi="Cambria Math"/>
            <w:color w:val="000000"/>
            <w:sz w:val="24"/>
            <w:szCs w:val="24"/>
          </w:rPr>
          <m:t xml:space="preserve">. </m:t>
        </m:r>
      </m:oMath>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3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 culminar de asignar todos los elementos de planificación a los docentes del departamento se comprueba que la suma del tiempo de todos los elementos de planificación sea igual a la suma de todos los elementos de carga generados.</w:t>
      </w:r>
    </w:p>
    <w:p w:rsidR="00000000" w:rsidDel="00000000" w:rsidP="00000000" w:rsidRDefault="00000000" w:rsidRPr="00000000" w14:paraId="00000040">
      <w:pPr>
        <w:jc w:val="left"/>
        <w:rPr>
          <w:rFonts w:ascii="Cambria Math" w:cs="Cambria Math" w:eastAsia="Cambria Math" w:hAnsi="Cambria Math"/>
          <w:color w:val="000000"/>
          <w:sz w:val="24"/>
          <w:szCs w:val="24"/>
        </w:rPr>
      </w:pPr>
      <m:oMath>
        <m:nary>
          <m:naryPr>
            <m:chr m:val="∑"/>
          </m:naryPr>
          <m:sub/>
          <m:sup/>
        </m:nary>
        <m:r>
          <w:rPr>
            <w:rFonts w:ascii="Cambria Math" w:cs="Cambria Math" w:eastAsia="Cambria Math" w:hAnsi="Cambria Math"/>
            <w:color w:val="000000"/>
            <w:sz w:val="24"/>
            <w:szCs w:val="24"/>
          </w:rPr>
          <m:t xml:space="preserve">t</m:t>
        </m:r>
        <m:d>
          <m:dPr>
            <m:begChr m:val="("/>
            <m:endChr m:val=")"/>
            <m:ctrlPr>
              <w:rPr>
                <w:rFonts w:ascii="Cambria Math" w:cs="Cambria Math" w:eastAsia="Cambria Math" w:hAnsi="Cambria Math"/>
                <w:color w:val="000000"/>
                <w:sz w:val="24"/>
                <w:szCs w:val="24"/>
              </w:rPr>
            </m:ctrlPr>
          </m:dPr>
          <m:e>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p</m:t>
                </m:r>
              </m:e>
              <m:sub>
                <m:r>
                  <w:rPr>
                    <w:rFonts w:ascii="Cambria Math" w:cs="Cambria Math" w:eastAsia="Cambria Math" w:hAnsi="Cambria Math"/>
                    <w:color w:val="000000"/>
                    <w:sz w:val="24"/>
                    <w:szCs w:val="24"/>
                  </w:rPr>
                  <m:t xml:space="preserve">i</m:t>
                </m:r>
              </m:sub>
            </m:sSub>
          </m:e>
        </m:d>
        <m:r>
          <w:rPr>
            <w:rFonts w:ascii="Cambria Math" w:cs="Cambria Math" w:eastAsia="Cambria Math" w:hAnsi="Cambria Math"/>
            <w:color w:val="000000"/>
            <w:sz w:val="24"/>
            <w:szCs w:val="24"/>
          </w:rPr>
          <m:t xml:space="preserve">=</m:t>
        </m:r>
        <m:nary>
          <m:naryPr>
            <m:chr m:val="∑"/>
            <m:ctrlPr>
              <w:rPr>
                <w:rFonts w:ascii="Cambria Math" w:cs="Cambria Math" w:eastAsia="Cambria Math" w:hAnsi="Cambria Math"/>
                <w:color w:val="000000"/>
                <w:sz w:val="24"/>
                <w:szCs w:val="24"/>
              </w:rPr>
            </m:ctrlPr>
          </m:naryPr>
          <m:sub/>
          <m:sup/>
        </m:nary>
        <m:nary>
          <m:naryPr>
            <m:chr m:val="∑"/>
            <m:ctrlPr>
              <w:rPr>
                <w:rFonts w:ascii="Cambria Math" w:cs="Cambria Math" w:eastAsia="Cambria Math" w:hAnsi="Cambria Math"/>
                <w:color w:val="000000"/>
                <w:sz w:val="24"/>
                <w:szCs w:val="24"/>
              </w:rPr>
            </m:ctrlPr>
          </m:naryPr>
          <m:sub/>
          <m:sup/>
        </m:nary>
        <m:r>
          <w:rPr>
            <w:rFonts w:ascii="Cambria Math" w:cs="Cambria Math" w:eastAsia="Cambria Math" w:hAnsi="Cambria Math"/>
            <w:color w:val="000000"/>
            <w:sz w:val="24"/>
            <w:szCs w:val="24"/>
          </w:rPr>
          <m:t xml:space="preserve">t</m:t>
        </m:r>
        <m:sSub>
          <m:sSubPr>
            <m:ctrlPr>
              <w:rPr>
                <w:rFonts w:ascii="Cambria Math" w:cs="Cambria Math" w:eastAsia="Cambria Math" w:hAnsi="Cambria Math"/>
                <w:color w:val="000000"/>
                <w:sz w:val="24"/>
                <w:szCs w:val="24"/>
              </w:rPr>
            </m:ctrlPr>
          </m:sSubPr>
          <m:e>
            <m:d>
              <m:dPr>
                <m:begChr m:val="("/>
                <m:endChr m:val=")"/>
                <m:ctrlPr>
                  <w:rPr>
                    <w:rFonts w:ascii="Cambria Math" w:cs="Cambria Math" w:eastAsia="Cambria Math" w:hAnsi="Cambria Math"/>
                    <w:color w:val="000000"/>
                    <w:sz w:val="24"/>
                    <w:szCs w:val="24"/>
                  </w:rPr>
                </m:ctrlPr>
              </m:dPr>
              <m:e>
                <m:sSub>
                  <m:sSubPr>
                    <m:ctrlPr>
                      <w:rPr>
                        <w:rFonts w:ascii="Cambria Math" w:cs="Cambria Math" w:eastAsia="Cambria Math" w:hAnsi="Cambria Math"/>
                        <w:color w:val="000000"/>
                        <w:sz w:val="24"/>
                        <w:szCs w:val="24"/>
                      </w:rPr>
                    </m:ctrlPr>
                  </m:sSubPr>
                  <m:e>
                    <m:r>
                      <w:rPr>
                        <w:rFonts w:ascii="Cambria Math" w:cs="Cambria Math" w:eastAsia="Cambria Math" w:hAnsi="Cambria Math"/>
                        <w:color w:val="000000"/>
                        <w:sz w:val="24"/>
                        <w:szCs w:val="24"/>
                      </w:rPr>
                      <m:t xml:space="preserve">c</m:t>
                    </m:r>
                  </m:e>
                  <m:sub>
                    <m:r>
                      <w:rPr>
                        <w:rFonts w:ascii="Cambria Math" w:cs="Cambria Math" w:eastAsia="Cambria Math" w:hAnsi="Cambria Math"/>
                        <w:color w:val="000000"/>
                        <w:sz w:val="24"/>
                        <w:szCs w:val="24"/>
                      </w:rPr>
                      <m:t xml:space="preserve">i</m:t>
                    </m:r>
                  </m:sub>
                </m:sSub>
              </m:e>
            </m:d>
          </m:e>
          <m:sub>
            <m:r>
              <w:rPr>
                <w:rFonts w:ascii="Cambria Math" w:cs="Cambria Math" w:eastAsia="Cambria Math" w:hAnsi="Cambria Math"/>
                <w:color w:val="000000"/>
                <w:sz w:val="24"/>
                <w:szCs w:val="24"/>
              </w:rPr>
              <m:t xml:space="preserve">j</m:t>
            </m:r>
          </m:sub>
        </m:sSub>
        <m:r>
          <w:rPr>
            <w:rFonts w:ascii="Cambria Math" w:cs="Cambria Math" w:eastAsia="Cambria Math" w:hAnsi="Cambria Math"/>
            <w:color w:val="000000"/>
            <w:sz w:val="24"/>
            <w:szCs w:val="24"/>
          </w:rPr>
          <m:t xml:space="preserve">          </m:t>
        </m:r>
      </m:oMath>
      <w:r w:rsidDel="00000000" w:rsidR="00000000" w:rsidRPr="00000000">
        <w:rPr>
          <w:rtl w:val="0"/>
        </w:rPr>
      </w:r>
    </w:p>
    <w:p w:rsidR="00000000" w:rsidDel="00000000" w:rsidP="00000000" w:rsidRDefault="00000000" w:rsidRPr="00000000" w14:paraId="00000041">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Esto garantizará que toda la planificación se encuentra cubierta por personal docente. Una vez culminado este proceso se habrá generado toda la carga directa que asumirá el departamento y sus docentes. Todos los elementos de carga directa contribuyen al proceso clave de Formación.</w:t>
      </w:r>
    </w:p>
    <w:p w:rsidR="00000000" w:rsidDel="00000000" w:rsidP="00000000" w:rsidRDefault="00000000" w:rsidRPr="00000000" w14:paraId="00000042">
      <w:pPr>
        <w:pStyle w:val="Heading3"/>
        <w:spacing w:after="0" w:before="0" w:line="360" w:lineRule="auto"/>
        <w:jc w:val="both"/>
        <w:rPr>
          <w:rFonts w:ascii="Times New Roman" w:cs="Times New Roman" w:eastAsia="Times New Roman" w:hAnsi="Times New Roman"/>
          <w:b w:val="0"/>
          <w:color w:val="000000"/>
          <w:sz w:val="24"/>
          <w:szCs w:val="24"/>
        </w:rPr>
      </w:pPr>
      <w:bookmarkStart w:colFirst="0" w:colLast="0" w:name="_2et92p0" w:id="4"/>
      <w:bookmarkEnd w:id="4"/>
      <w:r w:rsidDel="00000000" w:rsidR="00000000" w:rsidRPr="00000000">
        <w:rPr>
          <w:rFonts w:ascii="Times New Roman" w:cs="Times New Roman" w:eastAsia="Times New Roman" w:hAnsi="Times New Roman"/>
          <w:b w:val="0"/>
          <w:color w:val="000000"/>
          <w:sz w:val="24"/>
          <w:szCs w:val="24"/>
          <w:rtl w:val="0"/>
        </w:rPr>
        <w:t xml:space="preserve">II. Cálculo, determinación y asignación de las cargas indirectas individuales</w:t>
      </w:r>
    </w:p>
    <w:p w:rsidR="00000000" w:rsidDel="00000000" w:rsidP="00000000" w:rsidRDefault="00000000" w:rsidRPr="00000000" w14:paraId="00000043">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esta subetapa se procederá a calcular y determinar las cargas indirectas de los profesores del departamento. Este proceso se realiza de manera individual a cada uno de los docentes dentro del marco del período. Para ello se cuenta con un listado de elementos de carga indirecta que se comprobará uno a uno. Estos pueden ser calculados directamente en función a la carga directa u otros parámetros relacionados con el profesor y el departamento al que pertenece; mientras que otros se deberán especificar parámetros que permitan su definición. Estos están agrupados por el proceso clave al que contribuyen y son los siguientes:</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60"/>
          <w:tab w:val="left" w:leader="none" w:pos="450"/>
          <w:tab w:val="left" w:leader="none" w:pos="1440"/>
        </w:tabs>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Formación (Consultas, Calificación de exámenes, Tribunal y revisión de tesis (Pregrado), Tribunal y revisión de tesis (Posgrado), Preparación de clases, Tutoría de pregrado, Tutoría de posgrado, Cursos recibidos y superación, Trabajo educativo)</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60"/>
          <w:tab w:val="left" w:leader="none" w:pos="450"/>
        </w:tabs>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Investigación (Participación en proyectos, Eventos y publicaciones)</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60"/>
          <w:tab w:val="left" w:leader="none" w:pos="450"/>
        </w:tabs>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Extensión universitaria (Acciones de extensión universitaria)</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360"/>
          <w:tab w:val="left" w:leader="none" w:pos="450"/>
        </w:tabs>
        <w:spacing w:after="0" w:before="0" w:line="36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Otras actividades (Reuniones, Otras actividades, Responsabilidades administrativas, Responsabilidades políticas y sindicales, Responsabilidades de procesos).</w:t>
      </w:r>
    </w:p>
    <w:p w:rsidR="00000000" w:rsidDel="00000000" w:rsidP="00000000" w:rsidRDefault="00000000" w:rsidRPr="00000000" w14:paraId="00000048">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agrupación se hizo en correspondencia a los tres procesos clave de una universidad, y en otras actividades se incluyen el resto de acciones que no están vinculadas a procesos clave pero sí son de importancia para el desempeño de profesor. Los elementos en los que se desglosan que no se calculan de forma automática, fueron determinados a través de técnicas empíricas como revisión de documentos, entrevistas a personas con experiencia y preparación a nivel de universidad y la técnica estadística de estudio de tiempos cronometraje.</w:t>
      </w:r>
    </w:p>
    <w:p w:rsidR="00000000" w:rsidDel="00000000" w:rsidP="00000000" w:rsidRDefault="00000000" w:rsidRPr="00000000" w14:paraId="00000049">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Etapa III. Cálculo, análisis y toma de decisiones</w:t>
      </w:r>
    </w:p>
    <w:p w:rsidR="00000000" w:rsidDel="00000000" w:rsidP="00000000" w:rsidRDefault="00000000" w:rsidRPr="00000000" w14:paraId="0000004A">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esta etapa se realizará el cálculo de indicadores medibles a nivel de departamento que evidencien su estado real de carga y se deberán primeramente realizar ajustes para garantizar el máximo BQC, y una vez conseguido esto tomar decisiones organizativas para optimizar el proceso y garantizar el máximo aprovechamiento de la capacidad real. Esta etapa cuenta con dos subetapas: Cálculo y análisis de indicadores individuales y colectivos y Toma de decisiones. La información primaria es el resultado de la etapa de distribución de carga.</w:t>
      </w:r>
    </w:p>
    <w:p w:rsidR="00000000" w:rsidDel="00000000" w:rsidP="00000000" w:rsidRDefault="00000000" w:rsidRPr="00000000" w14:paraId="0000004B">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I. Cálculo y análisis de indicadores individuales y colectivos</w:t>
      </w:r>
    </w:p>
    <w:p w:rsidR="00000000" w:rsidDel="00000000" w:rsidP="00000000" w:rsidRDefault="00000000" w:rsidRPr="00000000" w14:paraId="0000004C">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este paso se realiza el cálculo de los indicadores generales de carga del departamento. El principal objetivo es obtener variables medibles que permitan su análisis comparativo para facilitar su ajuste y posterior toma de decisiones. El principal responsable de realizar este análisis es el jefe de departamento siendo el encargado directo del personal docente bajo su gestión. Los indicadores a medir son: Relación Alumno-Profesor, Carga individual del profesor (%),</w:t>
        <w:tab/>
        <w:t xml:space="preserve">Capacidad del departamento (%), Carga del departamento (%), Ajustes de personal (U), Impacto económico (CUP).</w:t>
      </w:r>
    </w:p>
    <w:p w:rsidR="00000000" w:rsidDel="00000000" w:rsidP="00000000" w:rsidRDefault="00000000" w:rsidRPr="00000000" w14:paraId="0000004D">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Específicamente en el cálculo del RAP se tuvieron en cuenta criterios de expertos enlazados con la propuesta de Herrera González et al. (2001) de lo que se propone la forma siguiente:</w:t>
      </w:r>
    </w:p>
    <w:p w:rsidR="00000000" w:rsidDel="00000000" w:rsidP="00000000" w:rsidRDefault="00000000" w:rsidRPr="00000000" w14:paraId="0000004E">
      <w:pPr>
        <w:jc w:val="left"/>
        <w:rPr>
          <w:rFonts w:ascii="Cambria Math" w:cs="Cambria Math" w:eastAsia="Cambria Math" w:hAnsi="Cambria Math"/>
          <w:color w:val="000000"/>
          <w:sz w:val="24"/>
          <w:szCs w:val="24"/>
        </w:rPr>
      </w:pPr>
      <m:oMath>
        <m:r>
          <w:rPr>
            <w:rFonts w:ascii="Cambria Math" w:cs="Cambria Math" w:eastAsia="Cambria Math" w:hAnsi="Cambria Math"/>
            <w:color w:val="000000"/>
            <w:sz w:val="24"/>
            <w:szCs w:val="24"/>
          </w:rPr>
          <m:t xml:space="preserve">RAP=</m:t>
        </m:r>
        <m:f>
          <m:fPr>
            <m:ctrlPr>
              <w:rPr>
                <w:rFonts w:ascii="Cambria Math" w:cs="Cambria Math" w:eastAsia="Cambria Math" w:hAnsi="Cambria Math"/>
                <w:color w:val="000000"/>
                <w:sz w:val="24"/>
                <w:szCs w:val="24"/>
              </w:rPr>
            </m:ctrlPr>
          </m:fPr>
          <m:num>
            <m:r>
              <w:rPr>
                <w:rFonts w:ascii="Cambria Math" w:cs="Cambria Math" w:eastAsia="Cambria Math" w:hAnsi="Cambria Math"/>
                <w:color w:val="000000"/>
                <w:sz w:val="24"/>
                <w:szCs w:val="24"/>
              </w:rPr>
              <m:t xml:space="preserve">Matrícula Equivalente</m:t>
            </m:r>
          </m:num>
          <m:den>
            <m:r>
              <w:rPr>
                <w:rFonts w:ascii="Cambria Math" w:cs="Cambria Math" w:eastAsia="Cambria Math" w:hAnsi="Cambria Math"/>
                <w:color w:val="000000"/>
                <w:sz w:val="24"/>
                <w:szCs w:val="24"/>
              </w:rPr>
              <m:t xml:space="preserve">Profesor Equivalente</m:t>
            </m:r>
          </m:den>
        </m:f>
      </m:oMath>
      <w:r w:rsidDel="00000000" w:rsidR="00000000" w:rsidRPr="00000000">
        <w:rPr>
          <w:rtl w:val="0"/>
        </w:rPr>
      </w:r>
    </w:p>
    <w:p w:rsidR="00000000" w:rsidDel="00000000" w:rsidP="00000000" w:rsidRDefault="00000000" w:rsidRPr="00000000" w14:paraId="0000004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Matrícula equivalente se determina al sumar la cantidad de estudiantes por cada tipo de curso. Cada tipo de curso se debe multiplicar por un coeficiente. El coeficiente es 1 para los estudiantes del curso regular diurno, curso por encuentro, educación a distancia y diplomado, 3 para los estudiantes de maestría, especialidad y doctorado, 0,25 para los de entrenamientos y 0,1 para los estudiantes de posgrado. Para los profesores equivalentes, se debe tener en cuenta la cantidad de horas contratadas de los docentes. En el caso de los profesores a tiempo completo, cuentan como 1. Para los profesores contratados por horas, se le multiplica a cada uno las horas de su contrato divididas entre 190,6 (Fondo de tiempo máximo). Esta es una forma de homogeneizar cuantitativamente el total de profesores.</w:t>
      </w:r>
    </w:p>
    <w:p w:rsidR="00000000" w:rsidDel="00000000" w:rsidP="00000000" w:rsidRDefault="00000000" w:rsidRPr="00000000" w14:paraId="00000050">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 resto de indicadores se basan en determinar de forma cuantitativa el grado de utilización que tiene un profesor o un área relacionada con su capacidad (190,6 horas al mes de forma individual) y su carga (derivada de la distribución de tareas realizas en la etapa anterior. El otro indicador tiene un componente económico, relacionado a los gastos de salario que se asocian a disminuir, aumentar o mantener el fondo de horas contratadas de todos los docentes, lo que influye directamente en el uso óptimo del presupuesto.</w:t>
      </w:r>
    </w:p>
    <w:p w:rsidR="00000000" w:rsidDel="00000000" w:rsidP="00000000" w:rsidRDefault="00000000" w:rsidRPr="00000000" w14:paraId="00000051">
      <w:pPr>
        <w:pStyle w:val="Heading3"/>
        <w:spacing w:after="0" w:before="0" w:line="360" w:lineRule="auto"/>
        <w:jc w:val="both"/>
        <w:rPr>
          <w:rFonts w:ascii="Times New Roman" w:cs="Times New Roman" w:eastAsia="Times New Roman" w:hAnsi="Times New Roman"/>
          <w:b w:val="0"/>
          <w:color w:val="000000"/>
          <w:sz w:val="24"/>
          <w:szCs w:val="24"/>
        </w:rPr>
      </w:pPr>
      <w:bookmarkStart w:colFirst="0" w:colLast="0" w:name="_tyjcwt" w:id="5"/>
      <w:bookmarkEnd w:id="5"/>
      <w:r w:rsidDel="00000000" w:rsidR="00000000" w:rsidRPr="00000000">
        <w:rPr>
          <w:rFonts w:ascii="Times New Roman" w:cs="Times New Roman" w:eastAsia="Times New Roman" w:hAnsi="Times New Roman"/>
          <w:b w:val="0"/>
          <w:color w:val="000000"/>
          <w:sz w:val="24"/>
          <w:szCs w:val="24"/>
          <w:rtl w:val="0"/>
        </w:rPr>
        <w:t xml:space="preserve">II. Toma de decisiones</w:t>
      </w:r>
    </w:p>
    <w:p w:rsidR="00000000" w:rsidDel="00000000" w:rsidP="00000000" w:rsidRDefault="00000000" w:rsidRPr="00000000" w14:paraId="00000052">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esta subetapa se deben de tomar decisiones en función de los escenarios resultantes de los análisis cuantitativos y cualitativos de la aplicación del procedimiento. Los dos escenarios a afrontar son: </w:t>
      </w:r>
      <w:r w:rsidDel="00000000" w:rsidR="00000000" w:rsidRPr="00000000">
        <w:rPr>
          <w:rFonts w:ascii="Times New Roman" w:cs="Times New Roman" w:eastAsia="Times New Roman" w:hAnsi="Times New Roman"/>
          <w:b w:val="0"/>
          <w:color w:val="000000"/>
          <w:sz w:val="24"/>
          <w:szCs w:val="24"/>
          <w:rtl w:val="0"/>
        </w:rPr>
        <w:t xml:space="preserve">subutilización</w:t>
      </w:r>
      <w:r w:rsidDel="00000000" w:rsidR="00000000" w:rsidRPr="00000000">
        <w:rPr>
          <w:rFonts w:ascii="Times New Roman" w:cs="Times New Roman" w:eastAsia="Times New Roman" w:hAnsi="Times New Roman"/>
          <w:color w:val="000000"/>
          <w:sz w:val="24"/>
          <w:szCs w:val="24"/>
          <w:rtl w:val="0"/>
        </w:rPr>
        <w:t xml:space="preserve"> o </w:t>
      </w:r>
      <w:r w:rsidDel="00000000" w:rsidR="00000000" w:rsidRPr="00000000">
        <w:rPr>
          <w:rFonts w:ascii="Times New Roman" w:cs="Times New Roman" w:eastAsia="Times New Roman" w:hAnsi="Times New Roman"/>
          <w:b w:val="0"/>
          <w:color w:val="000000"/>
          <w:sz w:val="24"/>
          <w:szCs w:val="24"/>
          <w:rtl w:val="0"/>
        </w:rPr>
        <w:t xml:space="preserve">sobrecarga</w:t>
      </w:r>
      <w:r w:rsidDel="00000000" w:rsidR="00000000" w:rsidRPr="00000000">
        <w:rPr>
          <w:rFonts w:ascii="Times New Roman" w:cs="Times New Roman" w:eastAsia="Times New Roman" w:hAnsi="Times New Roman"/>
          <w:color w:val="000000"/>
          <w:sz w:val="24"/>
          <w:szCs w:val="24"/>
          <w:rtl w:val="0"/>
        </w:rPr>
        <w:t xml:space="preserve"> del departamento en cuestión. Para ello se sugieren un grupo de estrategias en cada escenario, que servirán de guía para alinear y facilitar el proceso de reorganización, en función de lograr transiciones rápidas y satisfactorias hacia un modelo más eficiente. Las estrategias sugeridas a seguir por escenarios son las siguientes:</w:t>
      </w:r>
    </w:p>
    <w:p w:rsidR="00000000" w:rsidDel="00000000" w:rsidP="00000000" w:rsidRDefault="00000000" w:rsidRPr="00000000" w14:paraId="00000053">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Tabla 1.</w:t>
      </w:r>
    </w:p>
    <w:p w:rsidR="00000000" w:rsidDel="00000000" w:rsidP="00000000" w:rsidRDefault="00000000" w:rsidRPr="00000000" w14:paraId="0000005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Estrategias a tomar en función del escenario del departamento</w:t>
      </w:r>
    </w:p>
    <w:tbl>
      <w:tblPr>
        <w:tblStyle w:val="Table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8"/>
        <w:gridCol w:w="4198"/>
        <w:gridCol w:w="4548"/>
        <w:tblGridChange w:id="0">
          <w:tblGrid>
            <w:gridCol w:w="648"/>
            <w:gridCol w:w="4198"/>
            <w:gridCol w:w="4548"/>
          </w:tblGrid>
        </w:tblGridChange>
      </w:tblGrid>
      <w:tr>
        <w:trPr>
          <w:cantSplit w:val="0"/>
          <w:tblHeader w:val="1"/>
        </w:trPr>
        <w:tc>
          <w:tcPr>
            <w:shd w:fill="c4bc96" w:val="clear"/>
          </w:tcPr>
          <w:p w:rsidR="00000000" w:rsidDel="00000000" w:rsidP="00000000" w:rsidRDefault="00000000" w:rsidRPr="00000000" w14:paraId="00000055">
            <w:pPr>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tc>
        <w:tc>
          <w:tcPr>
            <w:vAlign w:val="center"/>
          </w:tcPr>
          <w:p w:rsidR="00000000" w:rsidDel="00000000" w:rsidP="00000000" w:rsidRDefault="00000000" w:rsidRPr="00000000" w14:paraId="00000056">
            <w:pPr>
              <w:spacing w:after="0" w:line="360" w:lineRule="auto"/>
              <w:jc w:val="both"/>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Departamento subutilizado</w:t>
            </w:r>
          </w:p>
        </w:tc>
        <w:tc>
          <w:tcPr>
            <w:vAlign w:val="center"/>
          </w:tcPr>
          <w:p w:rsidR="00000000" w:rsidDel="00000000" w:rsidP="00000000" w:rsidRDefault="00000000" w:rsidRPr="00000000" w14:paraId="00000057">
            <w:pPr>
              <w:spacing w:after="0" w:line="360" w:lineRule="auto"/>
              <w:jc w:val="both"/>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Departamento sobrecargado</w:t>
            </w:r>
          </w:p>
        </w:tc>
      </w:tr>
      <w:tr>
        <w:trPr>
          <w:cantSplit w:val="0"/>
          <w:tblHeader w:val="0"/>
        </w:trPr>
        <w:tc>
          <w:tcPr>
            <w:vMerge w:val="restart"/>
            <w:vAlign w:val="center"/>
          </w:tcPr>
          <w:p w:rsidR="00000000" w:rsidDel="00000000" w:rsidP="00000000" w:rsidRDefault="00000000" w:rsidRPr="00000000" w14:paraId="00000058">
            <w:pPr>
              <w:spacing w:after="0" w:line="360" w:lineRule="auto"/>
              <w:ind w:left="113" w:right="113" w:firstLine="0"/>
              <w:jc w:val="center"/>
              <w:rPr>
                <w:rFonts w:ascii="Times New Roman" w:cs="Times New Roman" w:eastAsia="Times New Roman" w:hAnsi="Times New Roman"/>
                <w:b w:val="0"/>
                <w:color w:val="000000"/>
                <w:sz w:val="24"/>
                <w:szCs w:val="24"/>
              </w:rPr>
            </w:pPr>
            <w:r w:rsidDel="00000000" w:rsidR="00000000" w:rsidRPr="00000000">
              <w:rPr>
                <w:rFonts w:ascii="Times New Roman" w:cs="Times New Roman" w:eastAsia="Times New Roman" w:hAnsi="Times New Roman"/>
                <w:b w:val="0"/>
                <w:color w:val="000000"/>
                <w:sz w:val="24"/>
                <w:szCs w:val="24"/>
                <w:rtl w:val="0"/>
              </w:rPr>
              <w:t xml:space="preserve">Estrategias</w:t>
            </w:r>
          </w:p>
        </w:tc>
        <w:tc>
          <w:tcPr/>
          <w:p w:rsidR="00000000" w:rsidDel="00000000" w:rsidP="00000000" w:rsidRDefault="00000000" w:rsidRPr="00000000" w14:paraId="00000059">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Reducción de profesores a tiempo parcial, o reducción de su fondo de tiempo</w:t>
            </w:r>
          </w:p>
        </w:tc>
        <w:tc>
          <w:tcPr/>
          <w:p w:rsidR="00000000" w:rsidDel="00000000" w:rsidP="00000000" w:rsidRDefault="00000000" w:rsidRPr="00000000" w14:paraId="0000005A">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Aumentar los contratos determinados de profesores o el fondo de tiempo de estos</w:t>
            </w:r>
          </w:p>
        </w:tc>
      </w:tr>
      <w:tr>
        <w:trPr>
          <w:cantSplit w:val="0"/>
          <w:tblHeader w:val="0"/>
        </w:trPr>
        <w:tc>
          <w:tcPr>
            <w:vMerge w:val="continue"/>
            <w:vAlign w:val="center"/>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5C">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Fomentar el desarrollo de las actividades de investigación y extensión</w:t>
            </w:r>
          </w:p>
        </w:tc>
        <w:tc>
          <w:tcPr/>
          <w:p w:rsidR="00000000" w:rsidDel="00000000" w:rsidP="00000000" w:rsidRDefault="00000000" w:rsidRPr="00000000" w14:paraId="0000005D">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Balancear cargas entre el personal del departamento</w:t>
            </w:r>
          </w:p>
        </w:tc>
      </w:tr>
      <w:tr>
        <w:trPr>
          <w:cantSplit w:val="0"/>
          <w:tblHeader w:val="0"/>
        </w:trPr>
        <w:tc>
          <w:tcPr>
            <w:vMerge w:val="continue"/>
            <w:vAlign w:val="cente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5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Fomentar las actividades de superación, haciendo énfasis en la formación doctoral</w:t>
            </w:r>
          </w:p>
        </w:tc>
        <w:tc>
          <w:tcPr/>
          <w:p w:rsidR="00000000" w:rsidDel="00000000" w:rsidP="00000000" w:rsidRDefault="00000000" w:rsidRPr="00000000" w14:paraId="00000060">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Lograr interdisciplinariedad</w:t>
            </w:r>
          </w:p>
        </w:tc>
      </w:tr>
      <w:tr>
        <w:trPr>
          <w:cantSplit w:val="0"/>
          <w:tblHeader w:val="0"/>
        </w:trPr>
        <w:tc>
          <w:tcPr>
            <w:vMerge w:val="continue"/>
            <w:vAlign w:val="center"/>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62">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Posible reducción de plantilla en caso de que existan plazas vacantes</w:t>
            </w:r>
          </w:p>
        </w:tc>
        <w:tc>
          <w:tcPr/>
          <w:p w:rsidR="00000000" w:rsidDel="00000000" w:rsidP="00000000" w:rsidRDefault="00000000" w:rsidRPr="00000000" w14:paraId="00000063">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Fomentar prestación de servicios a departamentos más afectados</w:t>
            </w:r>
          </w:p>
        </w:tc>
      </w:tr>
      <w:tr>
        <w:trPr>
          <w:cantSplit w:val="0"/>
          <w:tblHeader w:val="0"/>
        </w:trPr>
        <w:tc>
          <w:tcPr>
            <w:vMerge w:val="continue"/>
            <w:vAlign w:val="center"/>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65">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Valorar incremento de ofertas de plazas a ofertar a los estudiantes.</w:t>
            </w:r>
          </w:p>
        </w:tc>
        <w:tc>
          <w:tcPr/>
          <w:p w:rsidR="00000000" w:rsidDel="00000000" w:rsidP="00000000" w:rsidRDefault="00000000" w:rsidRPr="00000000" w14:paraId="00000066">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Cubrir las plazas vacantes</w:t>
            </w:r>
          </w:p>
        </w:tc>
      </w:tr>
      <w:tr>
        <w:trPr>
          <w:cantSplit w:val="0"/>
          <w:tblHeader w:val="0"/>
        </w:trPr>
        <w:tc>
          <w:tcPr>
            <w:vMerge w:val="continue"/>
            <w:vAlign w:val="cente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4"/>
                <w:szCs w:val="24"/>
              </w:rPr>
            </w:pPr>
            <w:r w:rsidDel="00000000" w:rsidR="00000000" w:rsidRPr="00000000">
              <w:rPr>
                <w:rtl w:val="0"/>
              </w:rPr>
            </w:r>
          </w:p>
        </w:tc>
        <w:tc>
          <w:tcPr/>
          <w:p w:rsidR="00000000" w:rsidDel="00000000" w:rsidP="00000000" w:rsidRDefault="00000000" w:rsidRPr="00000000" w14:paraId="00000068">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Efectuar ajustes presupuestarios de gastos de personal</w:t>
            </w:r>
          </w:p>
        </w:tc>
        <w:tc>
          <w:tcPr/>
          <w:p w:rsidR="00000000" w:rsidDel="00000000" w:rsidP="00000000" w:rsidRDefault="00000000" w:rsidRPr="00000000" w14:paraId="00000069">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Valorar reporte de horas extra para profesores sobrecargados</w:t>
            </w:r>
          </w:p>
        </w:tc>
      </w:tr>
    </w:tbl>
    <w:p w:rsidR="00000000" w:rsidDel="00000000" w:rsidP="00000000" w:rsidRDefault="00000000" w:rsidRPr="00000000" w14:paraId="0000006A">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selección de la estrategia, así como las decisiones a tomar a partir de estas involucrarán los niveles de departamento, facultad y centro de educación superior. Por lo tanto, se recomienda que se cree una comisión interdisciplinaria que evalúe detalladamente los resultados y sus circunstancias, para tomar las decisiones que mejor logren acercar al departamento al cumplimiento de sus objetivos y así contribuir a los de la universidad.</w:t>
      </w:r>
    </w:p>
    <w:p w:rsidR="00000000" w:rsidDel="00000000" w:rsidP="00000000" w:rsidRDefault="00000000" w:rsidRPr="00000000" w14:paraId="0000006B">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Aplicación del Procedimiento para realizar BQC de docentes universitarios en el Departamento de Ingeniería Industrial de la Universidad de Holguín</w:t>
      </w:r>
    </w:p>
    <w:p w:rsidR="00000000" w:rsidDel="00000000" w:rsidP="00000000" w:rsidRDefault="00000000" w:rsidRPr="00000000" w14:paraId="0000006C">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Una vez definido el procedimiento, la primera acción que se desarrolló fue la informatización del mismo de forma tal que facilitara el uso del mismo por las personas implicadas (jefes de departamento, directores de centro de estudio, planificadores de facultad y especialistas de la Dirección de Recursos Humanos que atienden la plantilla). El </w:t>
      </w:r>
      <w:r w:rsidDel="00000000" w:rsidR="00000000" w:rsidRPr="00000000">
        <w:rPr>
          <w:rFonts w:ascii="Times New Roman" w:cs="Times New Roman" w:eastAsia="Times New Roman" w:hAnsi="Times New Roman"/>
          <w:i w:val="1"/>
          <w:color w:val="000000"/>
          <w:sz w:val="24"/>
          <w:szCs w:val="24"/>
          <w:rtl w:val="0"/>
        </w:rPr>
        <w:t xml:space="preserve">software</w:t>
      </w:r>
      <w:r w:rsidDel="00000000" w:rsidR="00000000" w:rsidRPr="00000000">
        <w:rPr>
          <w:rFonts w:ascii="Times New Roman" w:cs="Times New Roman" w:eastAsia="Times New Roman" w:hAnsi="Times New Roman"/>
          <w:color w:val="000000"/>
          <w:sz w:val="24"/>
          <w:szCs w:val="24"/>
          <w:rtl w:val="0"/>
        </w:rPr>
        <w:t xml:space="preserve"> diseñado se denominó Q-C Universidad (Figura 2), del cual se hicieron pruebas de uso iniciales para luego comenzar el proceso de despliegue dentro de los servidores de la Universidad. La implementación del </w:t>
      </w:r>
      <w:r w:rsidDel="00000000" w:rsidR="00000000" w:rsidRPr="00000000">
        <w:rPr>
          <w:rFonts w:ascii="Times New Roman" w:cs="Times New Roman" w:eastAsia="Times New Roman" w:hAnsi="Times New Roman"/>
          <w:i w:val="1"/>
          <w:color w:val="000000"/>
          <w:sz w:val="24"/>
          <w:szCs w:val="24"/>
          <w:rtl w:val="0"/>
        </w:rPr>
        <w:t xml:space="preserve">software</w:t>
      </w:r>
      <w:r w:rsidDel="00000000" w:rsidR="00000000" w:rsidRPr="00000000">
        <w:rPr>
          <w:rFonts w:ascii="Times New Roman" w:cs="Times New Roman" w:eastAsia="Times New Roman" w:hAnsi="Times New Roman"/>
          <w:color w:val="000000"/>
          <w:sz w:val="24"/>
          <w:szCs w:val="24"/>
          <w:rtl w:val="0"/>
        </w:rPr>
        <w:t xml:space="preserve"> también lleva una fase de capacitación de los involucrados para su uso óptimo.</w:t>
      </w:r>
    </w:p>
    <w:p w:rsidR="00000000" w:rsidDel="00000000" w:rsidP="00000000" w:rsidRDefault="00000000" w:rsidRPr="00000000" w14:paraId="0000006D">
      <w:pPr>
        <w:spacing w:after="0" w:line="360" w:lineRule="auto"/>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Figura 2. </w:t>
      </w:r>
    </w:p>
    <w:p w:rsidR="00000000" w:rsidDel="00000000" w:rsidP="00000000" w:rsidRDefault="00000000" w:rsidRPr="00000000" w14:paraId="0000006E">
      <w:pPr>
        <w:spacing w:after="0" w:line="360" w:lineRule="auto"/>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i w:val="1"/>
          <w:sz w:val="24"/>
          <w:szCs w:val="24"/>
          <w:rtl w:val="0"/>
        </w:rPr>
        <w:t xml:space="preserve">Página de entrada del software QC Universidad</w:t>
      </w:r>
      <w:r w:rsidDel="00000000" w:rsidR="00000000" w:rsidRPr="00000000">
        <w:rPr>
          <w:rtl w:val="0"/>
        </w:rPr>
      </w:r>
    </w:p>
    <w:p w:rsidR="00000000" w:rsidDel="00000000" w:rsidP="00000000" w:rsidRDefault="00000000" w:rsidRPr="00000000" w14:paraId="0000006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Pr>
        <w:drawing>
          <wp:inline distB="0" distT="0" distL="0" distR="0">
            <wp:extent cx="5943600" cy="1334135"/>
            <wp:effectExtent b="9525" l="9525" r="9525" t="9525"/>
            <wp:docPr id="2"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5943600" cy="1334135"/>
                    </a:xfrm>
                    <a:prstGeom prst="rect"/>
                    <a:ln w="9525">
                      <a:solidFill>
                        <a:srgbClr val="93CDDC"/>
                      </a:solidFill>
                      <a:prstDash val="solid"/>
                    </a:ln>
                  </pic:spPr>
                </pic:pic>
              </a:graphicData>
            </a:graphic>
          </wp:inline>
        </w:drawing>
      </w:r>
      <w:r w:rsidDel="00000000" w:rsidR="00000000" w:rsidRPr="00000000">
        <w:rPr>
          <w:rtl w:val="0"/>
        </w:rPr>
      </w:r>
    </w:p>
    <w:p w:rsidR="00000000" w:rsidDel="00000000" w:rsidP="00000000" w:rsidRDefault="00000000" w:rsidRPr="00000000" w14:paraId="00000070">
      <w:pPr>
        <w:spacing w:after="0"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71">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aplicación del procedimiento apoyado en el </w:t>
      </w:r>
      <w:r w:rsidDel="00000000" w:rsidR="00000000" w:rsidRPr="00000000">
        <w:rPr>
          <w:rFonts w:ascii="Times New Roman" w:cs="Times New Roman" w:eastAsia="Times New Roman" w:hAnsi="Times New Roman"/>
          <w:i w:val="1"/>
          <w:color w:val="000000"/>
          <w:sz w:val="24"/>
          <w:szCs w:val="24"/>
          <w:rtl w:val="0"/>
        </w:rPr>
        <w:t xml:space="preserve">software</w:t>
      </w:r>
      <w:r w:rsidDel="00000000" w:rsidR="00000000" w:rsidRPr="00000000">
        <w:rPr>
          <w:rFonts w:ascii="Times New Roman" w:cs="Times New Roman" w:eastAsia="Times New Roman" w:hAnsi="Times New Roman"/>
          <w:color w:val="000000"/>
          <w:sz w:val="24"/>
          <w:szCs w:val="24"/>
          <w:rtl w:val="0"/>
        </w:rPr>
        <w:t xml:space="preserve"> Q-C Universidad se desarrolló en el Departamento de Ingeniería Industrial de la Facultad de Ingeniería Industrial en el segundo período del curso 2022. Se seleccionó este departamento por contener una de las carreras con mayores matrículas a nivel de Universidad y ser a la vez uno de los departamentos con más bajas de docentes en el primer período del 2022, por lo que fue una necesidad realizar los BQC en aras de lograr el uso óptimo de la fuerza de trabajo para darle respuesta a la alta demanda del segundo periodo con los estándares de calidad requeridos.</w:t>
      </w:r>
    </w:p>
    <w:p w:rsidR="00000000" w:rsidDel="00000000" w:rsidP="00000000" w:rsidRDefault="00000000" w:rsidRPr="00000000" w14:paraId="00000072">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 Departamento de Ingeniería Industrial atiende la carrera de Ingeniería Industrial en las modalidades de diurno y curso por encuentro, el ciclo corto de Logística, la maestría de Ingeniería Industrial, apoya la docencia del doctorado de Gestión Organizacional e imparte un número acciones de posgrado importante al territorio holguinero. Se compone de cinco disciplinas (Ingeniería del Factor Humano, Gestión de la Calidad, Gestión de Procesos, Gestión Organizacional y la Disciplina Principal Integradora). Su plantilla es de 17 profesores a tiempo completo, 8 profesores a tiempo parcial y 9 colaboradores.</w:t>
      </w:r>
    </w:p>
    <w:p w:rsidR="00000000" w:rsidDel="00000000" w:rsidP="00000000" w:rsidRDefault="00000000" w:rsidRPr="00000000" w14:paraId="00000073">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la etapa de planificación, se realizó la consulta del plan de estudios y los P1 del departamento. Solamente se tuvieron en cuenta las asignaturas de las disciplinas impartidas por este, pues son las que imparten los docentes del departamento. De manera primaria se definieron un total de 29 asignaturas, de ellas 19 del pregrado y 10 del posgrado. Fueron desglosadas por tipo de actividad, resultando un total de 55 elementos de planificación a distribuir, de ellos 38 de pregrado y 17 del posgrado, con un total de tiempo real de 714.75 horas, que se imparten a un promedio de 1.63 grupos. Este proceso se realizó con el apoyo de la Jefa del Departamento de Ingeniería Industrial y los jefes de disciplina del mismo departamento.</w:t>
      </w:r>
    </w:p>
    <w:p w:rsidR="00000000" w:rsidDel="00000000" w:rsidP="00000000" w:rsidRDefault="00000000" w:rsidRPr="00000000" w14:paraId="00000074">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la fase de distribución se obtuvo que de las 29 asignaturas planificadas utilizando 22 profesores del departamento quedaron cubiertas las 29. Se cubrieron 1086.51 horas de 1086.51 planificadas, para un 100%. Se realizó la determinación de la carga indirecta a 34 profesores del departamento de un total de 34 que cuenta actualmente en su gestión. Se generó un total de 17088.45 horas de carga indirecta en total. </w:t>
      </w:r>
    </w:p>
    <w:p w:rsidR="00000000" w:rsidDel="00000000" w:rsidP="00000000" w:rsidRDefault="00000000" w:rsidRPr="00000000" w14:paraId="00000075">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Al culminar la etapa de Distribución de carga se pudo determinar que el Departamento de Ingeniería industrial cuenta con 1086.51 horas de carga directa y 17088.46 horas de carga indirecta, resultando en 18174.97 horas de carga total. Al realizar un análisis individual de cada profesor, se pudo constatar que existen 7 profesores sobrecargados en el departamento, mientras existen 17 subutilizados.</w:t>
      </w:r>
    </w:p>
    <w:p w:rsidR="00000000" w:rsidDel="00000000" w:rsidP="00000000" w:rsidRDefault="00000000" w:rsidRPr="00000000" w14:paraId="00000076">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La diferencia de los valores de carga está causada por una superposición de planes de estudio (Plan E y D), uno de inicio y otro de cierre, que causa que existan asignaturas con mucha incidencia dentro del período, mientras otras no se encuentran en la planificación. Dada esta situación existen profesores con altos niveles de carga docente, mientras existen otros con cero. Además, coincide que los profesores más sobrecargados poseen responsabilidades administrativas altas, que le añaden carga al total de horas que cubren en el período.</w:t>
      </w:r>
    </w:p>
    <w:p w:rsidR="00000000" w:rsidDel="00000000" w:rsidP="00000000" w:rsidRDefault="00000000" w:rsidRPr="00000000" w14:paraId="00000077">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 la tercera etapa se realizó inicialmente el cálculo de los indicadores para tomar las decisiones y los mismos tuvieron el comportamiento siguiente:</w:t>
      </w:r>
    </w:p>
    <w:p w:rsidR="00000000" w:rsidDel="00000000" w:rsidP="00000000" w:rsidRDefault="00000000" w:rsidRPr="00000000" w14:paraId="00000078">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Tabla 2. </w:t>
      </w:r>
    </w:p>
    <w:p w:rsidR="00000000" w:rsidDel="00000000" w:rsidP="00000000" w:rsidRDefault="00000000" w:rsidRPr="00000000" w14:paraId="00000079">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Indicadores del Departamento de Ingeniería Industrial</w:t>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5"/>
        <w:gridCol w:w="1890"/>
        <w:gridCol w:w="2430"/>
        <w:gridCol w:w="2289"/>
        <w:tblGridChange w:id="0">
          <w:tblGrid>
            <w:gridCol w:w="2785"/>
            <w:gridCol w:w="1890"/>
            <w:gridCol w:w="2430"/>
            <w:gridCol w:w="2289"/>
          </w:tblGrid>
        </w:tblGridChange>
      </w:tblGrid>
      <w:tr>
        <w:trPr>
          <w:cantSplit w:val="0"/>
          <w:trHeight w:val="5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A">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Indicador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B">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C">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Indicador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D">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Valor</w:t>
            </w:r>
          </w:p>
        </w:tc>
      </w:tr>
      <w:tr>
        <w:trPr>
          <w:cantSplit w:val="0"/>
          <w:trHeight w:val="6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7E">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Relación alumno-profesor</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7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16.86</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0">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Carga del departamento</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1">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18174.97 h-prof/per</w:t>
            </w:r>
          </w:p>
        </w:tc>
      </w:tr>
      <w:tr>
        <w:trPr>
          <w:cantSplit w:val="0"/>
          <w:trHeight w:val="6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2">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Fondo de tiempo del período</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3">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724.28 h</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4">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Porciento de carga</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5">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71.7 %</w:t>
            </w:r>
          </w:p>
        </w:tc>
      </w:tr>
      <w:tr>
        <w:trPr>
          <w:cantSplit w:val="0"/>
          <w:trHeight w:val="6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6">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Cantidad de profesores</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7">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34 profesores</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8">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Ajustes de personal</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9">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 Profesores</w:t>
            </w:r>
          </w:p>
        </w:tc>
      </w:tr>
      <w:tr>
        <w:trPr>
          <w:cantSplit w:val="0"/>
          <w:trHeight w:val="6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A">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Salario promedio</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B">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638400 CUP</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C">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Impacto económico </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D">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-182400 CUP</w:t>
            </w:r>
          </w:p>
        </w:tc>
      </w:tr>
      <w:tr>
        <w:trPr>
          <w:cantSplit w:val="0"/>
          <w:trHeight w:val="60" w:hRule="atLeast"/>
          <w:tblHeader w:val="0"/>
        </w:trPr>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E">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Capacidad del departamento</w:t>
            </w:r>
          </w:p>
        </w:tc>
        <w:tc>
          <w:tcPr>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08F">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25349.8 h-prof/per</w:t>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0">
            <w:pPr>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091">
            <w:pPr>
              <w:spacing w:after="0" w:line="360" w:lineRule="auto"/>
              <w:jc w:val="both"/>
              <w:rPr>
                <w:rFonts w:ascii="Times New Roman" w:cs="Times New Roman" w:eastAsia="Times New Roman" w:hAnsi="Times New Roman"/>
                <w:color w:val="000000"/>
                <w:sz w:val="24"/>
                <w:szCs w:val="24"/>
              </w:rPr>
            </w:pPr>
            <w:r w:rsidDel="00000000" w:rsidR="00000000" w:rsidRPr="00000000">
              <w:rPr>
                <w:rtl w:val="0"/>
              </w:rPr>
            </w:r>
          </w:p>
        </w:tc>
      </w:tr>
    </w:tbl>
    <w:p w:rsidR="00000000" w:rsidDel="00000000" w:rsidP="00000000" w:rsidRDefault="00000000" w:rsidRPr="00000000" w14:paraId="00000092">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 indicador del RAP tiene una desviación de 4.58 del valor teórico definido (12.28). Sin embargo, el análisis del RAP a nivel de departamento solo da un referente, pero no se ajusta totalmente a la realidad, debido que los estudiantes de la carrera, no solo reciben docencia por los profesores del departamento al que pertenece la carrera, también la reciben de los departamentos que prestan servicio como Matemática, Física, Marxismo entre otros. La carga porcentual del departamento es de un 71.7 %, encontrándose subutilizado. Esta situación conlleva a que el indicador de Ajustes de personal arroje 10 profesores en negativo. Este valor tan bajo se encuentra causado por lo ya antes expuesto en el análisis individual. Resalta que la disciplina de Ingeniería del Factor Humano, si bien es la que se muestra más subutilizada, se debe a que no cuenta con altos niveles de carga en el período objeto de estudio, cuestión que en el próximo período será revertida.  En análisis con la dirección de la facultad y el departamento se verificó la carga que tendrán en el siguiente periodo los profesores más subutilizados y los mismos pasarán a estar sobrecargados, situación que se soluciona cuando termine la superposición de los planes D y E dentro de la carrera.</w:t>
      </w:r>
    </w:p>
    <w:p w:rsidR="00000000" w:rsidDel="00000000" w:rsidP="00000000" w:rsidRDefault="00000000" w:rsidRPr="00000000" w14:paraId="00000093">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Dado que el departamento de Ingeniería Industrial se encuentra subutilizado en el período de análisis y teniendo en cuenta las circunstancias analizadas en el período, como la superposición de planes de estudio, baja o muy baja incidencia de ciertas disciplinas en la planificación docentes (como es el caso de Ingeniería del Factor Humano), se considera que las estrategias más adecuadas a seguir son Fomentar el desarrollo de las actividades de investigación y extensión y Fomentar las actividades de superación, haciendo énfasis en la formación doctoral</w:t>
      </w:r>
      <w:r w:rsidDel="00000000" w:rsidR="00000000" w:rsidRPr="00000000">
        <w:rPr>
          <w:rFonts w:ascii="Times New Roman" w:cs="Times New Roman" w:eastAsia="Times New Roman" w:hAnsi="Times New Roman"/>
          <w:b w:val="1"/>
          <w:color w:val="00000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Resaltando que la situación relacionada con las diferencias de carga en los períodos no se recomienda tomar acción alguna referente a la plantilla o los contratos, dado que puede resultar en afectación al periodo siguiente. Para materializar las estrategias se confeccionó un plan de acción con las particularidades de este departamento.</w:t>
      </w:r>
    </w:p>
    <w:p w:rsidR="00000000" w:rsidDel="00000000" w:rsidP="00000000" w:rsidRDefault="00000000" w:rsidRPr="00000000" w14:paraId="00000094">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CONCLUSIONES</w:t>
      </w:r>
    </w:p>
    <w:p w:rsidR="00000000" w:rsidDel="00000000" w:rsidP="00000000" w:rsidRDefault="00000000" w:rsidRPr="00000000" w14:paraId="00000095">
      <w:pPr>
        <w:spacing w:after="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El análisis bibliográfico permitió constatar la necesidad de contar con el uso óptimo de recursos humanos docentes para los que es necesario el desarrollo de BQC. En el estudio realizado se constató que no existe un procedimiento que se adecue al contexto actual de las universidades cubanas para el desarrollo de los balances de carga y capacidad. Sin embargo, existen estudios e indicaciones relacionadas con el indicador RAP que sirven de referencia para los análisis de plantilla de los docentes. Sobre la base de la necesidad práctica y las carencias metodológicas se diseñó un procedimiento que cuenta con tres etapas y seis pasos, sustentado tecnológicamente en un sistema informático, y que orienta a la dirección para desarrollar los balances de carga y capacidad de docentes universitarios. Al aplicar el procedimiento en el Departamento de Ingeniería Industrial se obtuvo una relación alumno profesor de 16,86 muy lejos de los valores deseados, sin embargo, en el análisis no se tuvieron en cuenta los docentes que prestan servicio a la carrera lo que podría incidir en la mejora del indicador. Además, el departamento arrojó a un valor de subutilización de 71,4% generado en mayor medida por la superposición de los planes D y E que recargan la docencia en el periodo siguiente. No obstante, se trazaron dos estrategias en aras de poder aumentar la carga para lograr un mejor balance y aumentar los resultados científicos y de formación doctoral de los docentes del departamento.</w:t>
      </w:r>
    </w:p>
    <w:p w:rsidR="00000000" w:rsidDel="00000000" w:rsidP="00000000" w:rsidRDefault="00000000" w:rsidRPr="00000000" w14:paraId="00000096">
      <w:pPr>
        <w:spacing w:after="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REFERENCIAS</w:t>
      </w:r>
    </w:p>
    <w:p w:rsidR="00000000" w:rsidDel="00000000" w:rsidP="00000000" w:rsidRDefault="00000000" w:rsidRPr="00000000" w14:paraId="00000097">
      <w:pPr>
        <w:tabs>
          <w:tab w:val="left" w:leader="none" w:pos="360"/>
          <w:tab w:val="left" w:leader="none" w:pos="630"/>
        </w:tabs>
        <w:spacing w:after="0" w:line="360" w:lineRule="auto"/>
        <w:ind w:left="360" w:hanging="360"/>
        <w:jc w:val="both"/>
        <w:rPr>
          <w:rFonts w:ascii="Times New Roman" w:cs="Times New Roman" w:eastAsia="Times New Roman" w:hAnsi="Times New Roman"/>
          <w:color w:val="215868"/>
          <w:sz w:val="24"/>
          <w:szCs w:val="24"/>
          <w:u w:val="single"/>
        </w:rPr>
      </w:pPr>
      <w:r w:rsidDel="00000000" w:rsidR="00000000" w:rsidRPr="00000000">
        <w:rPr>
          <w:rFonts w:ascii="Times New Roman" w:cs="Times New Roman" w:eastAsia="Times New Roman" w:hAnsi="Times New Roman"/>
          <w:color w:val="000000"/>
          <w:sz w:val="24"/>
          <w:szCs w:val="24"/>
          <w:rtl w:val="0"/>
        </w:rPr>
        <w:t xml:space="preserve">Acuña, A. P. (2016). Definición de criterios ratio docente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estudiante. Vicerrectoría académica calidad en la educación. Universidad EAN. </w:t>
      </w:r>
      <w:hyperlink r:id="rId18">
        <w:r w:rsidDel="00000000" w:rsidR="00000000" w:rsidRPr="00000000">
          <w:rPr>
            <w:rFonts w:ascii="Times New Roman" w:cs="Times New Roman" w:eastAsia="Times New Roman" w:hAnsi="Times New Roman"/>
            <w:color w:val="000080"/>
            <w:sz w:val="24"/>
            <w:szCs w:val="24"/>
            <w:u w:val="single"/>
            <w:rtl w:val="0"/>
          </w:rPr>
          <w:t xml:space="preserve">https://www.researchgate.net/publication/336779067</w:t>
        </w:r>
      </w:hyperlink>
      <w:r w:rsidDel="00000000" w:rsidR="00000000" w:rsidRPr="00000000">
        <w:rPr>
          <w:rtl w:val="0"/>
        </w:rPr>
      </w:r>
    </w:p>
    <w:p w:rsidR="00000000" w:rsidDel="00000000" w:rsidP="00000000" w:rsidRDefault="00000000" w:rsidRPr="00000000" w14:paraId="00000098">
      <w:pPr>
        <w:tabs>
          <w:tab w:val="left" w:leader="none" w:pos="360"/>
          <w:tab w:val="left" w:leader="none" w:pos="630"/>
        </w:tabs>
        <w:spacing w:after="0"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Angulo Linero, G. J. (2021). El sistema de aseguramiento de la calidad. </w:t>
      </w:r>
      <w:r w:rsidDel="00000000" w:rsidR="00000000" w:rsidRPr="00000000">
        <w:rPr>
          <w:rFonts w:ascii="Times New Roman" w:cs="Times New Roman" w:eastAsia="Times New Roman" w:hAnsi="Times New Roman"/>
          <w:i w:val="1"/>
          <w:color w:val="000000"/>
          <w:sz w:val="24"/>
          <w:szCs w:val="24"/>
          <w:rtl w:val="0"/>
        </w:rPr>
        <w:t xml:space="preserve">Nueva revista de política, cultura y arte</w:t>
      </w:r>
      <w:r w:rsidDel="00000000" w:rsidR="00000000" w:rsidRPr="00000000">
        <w:rPr>
          <w:rFonts w:ascii="Times New Roman" w:cs="Times New Roman" w:eastAsia="Times New Roman" w:hAnsi="Times New Roman"/>
          <w:color w:val="000000"/>
          <w:sz w:val="24"/>
          <w:szCs w:val="24"/>
          <w:rtl w:val="0"/>
        </w:rPr>
        <w:t xml:space="preserve"> (2), 78-93. </w:t>
      </w:r>
      <w:hyperlink r:id="rId19">
        <w:r w:rsidDel="00000000" w:rsidR="00000000" w:rsidRPr="00000000">
          <w:rPr>
            <w:rFonts w:ascii="Times New Roman" w:cs="Times New Roman" w:eastAsia="Times New Roman" w:hAnsi="Times New Roman"/>
            <w:color w:val="0000ff"/>
            <w:sz w:val="24"/>
            <w:szCs w:val="24"/>
            <w:u w:val="single"/>
            <w:rtl w:val="0"/>
          </w:rPr>
          <w:t xml:space="preserve">https://dialnet.unirioja.es/servlet/articulo?codigo=8384709</w:t>
        </w:r>
      </w:hyperlink>
      <w:r w:rsidDel="00000000" w:rsidR="00000000" w:rsidRPr="00000000">
        <w:rPr>
          <w:rtl w:val="0"/>
        </w:rPr>
      </w:r>
    </w:p>
    <w:p w:rsidR="00000000" w:rsidDel="00000000" w:rsidP="00000000" w:rsidRDefault="00000000" w:rsidRPr="00000000" w14:paraId="00000099">
      <w:pPr>
        <w:tabs>
          <w:tab w:val="left" w:leader="none" w:pos="360"/>
          <w:tab w:val="left" w:leader="none" w:pos="630"/>
        </w:tabs>
        <w:spacing w:after="0"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Herrera González, B., de Miguel Guzmán, M., &amp; Pérez Campdesuñer, R. (2001). Procedimiento para la determinación de la plantilla de personal docente en el departamento con la relación Alumno Profesor de 12,28. </w:t>
      </w:r>
      <w:r w:rsidDel="00000000" w:rsidR="00000000" w:rsidRPr="00000000">
        <w:rPr>
          <w:rFonts w:ascii="Times New Roman" w:cs="Times New Roman" w:eastAsia="Times New Roman" w:hAnsi="Times New Roman"/>
          <w:i w:val="1"/>
          <w:sz w:val="24"/>
          <w:szCs w:val="24"/>
          <w:rtl w:val="0"/>
        </w:rPr>
        <w:t xml:space="preserve">Folletos Gerenciales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5(4), 35-42.</w:t>
      </w:r>
      <w:r w:rsidDel="00000000" w:rsidR="00000000" w:rsidRPr="00000000">
        <w:rPr>
          <w:rtl w:val="0"/>
        </w:rPr>
        <w:t xml:space="preserve"> </w:t>
      </w:r>
      <w:hyperlink r:id="rId20">
        <w:r w:rsidDel="00000000" w:rsidR="00000000" w:rsidRPr="00000000">
          <w:rPr>
            <w:rFonts w:ascii="Times New Roman" w:cs="Times New Roman" w:eastAsia="Times New Roman" w:hAnsi="Times New Roman"/>
            <w:color w:val="0000ff"/>
            <w:sz w:val="24"/>
            <w:szCs w:val="24"/>
            <w:u w:val="single"/>
            <w:rtl w:val="0"/>
          </w:rPr>
          <w:t xml:space="preserve">https://go.gale.com/ps/i.do?id=GALE%7CA146742537&amp;sid=googleScholar&amp;v=2.1&amp;it=r&amp;linkaccess=abs&amp;issn=17265851&amp;p=IFME&amp;sw=w&amp;userGroupName=anon%7Ef0859da1&amp;aty=open-web-entry</w:t>
        </w:r>
      </w:hyperlink>
      <w:r w:rsidDel="00000000" w:rsidR="00000000" w:rsidRPr="00000000">
        <w:rPr>
          <w:rtl w:val="0"/>
        </w:rPr>
      </w:r>
    </w:p>
    <w:p w:rsidR="00000000" w:rsidDel="00000000" w:rsidP="00000000" w:rsidRDefault="00000000" w:rsidRPr="00000000" w14:paraId="0000009A">
      <w:pPr>
        <w:tabs>
          <w:tab w:val="left" w:leader="none" w:pos="360"/>
          <w:tab w:val="left" w:leader="none" w:pos="630"/>
        </w:tabs>
        <w:spacing w:after="0"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Melo, F., Blanco, M., &amp; Bevilacqua, M. L. (2020). Experiencias en torno a la enseñanza en metodología de la investigación en la universidad pública: El caso de la facultad ciencias de la gestión-uader (argentina). </w:t>
      </w:r>
      <w:r w:rsidDel="00000000" w:rsidR="00000000" w:rsidRPr="00000000">
        <w:rPr>
          <w:rFonts w:ascii="Times New Roman" w:cs="Times New Roman" w:eastAsia="Times New Roman" w:hAnsi="Times New Roman"/>
          <w:i w:val="1"/>
          <w:sz w:val="24"/>
          <w:szCs w:val="24"/>
          <w:rtl w:val="0"/>
        </w:rPr>
        <w:t xml:space="preserve">Tiempo de Gestión</w:t>
      </w:r>
      <w:r w:rsidDel="00000000" w:rsidR="00000000" w:rsidRPr="00000000">
        <w:rPr>
          <w:rFonts w:ascii="Times New Roman" w:cs="Times New Roman" w:eastAsia="Times New Roman" w:hAnsi="Times New Roman"/>
          <w:sz w:val="24"/>
          <w:szCs w:val="24"/>
          <w:rtl w:val="0"/>
        </w:rPr>
        <w:t xml:space="preserve">, 15(27), 117-130. </w:t>
      </w:r>
      <w:hyperlink r:id="rId21">
        <w:r w:rsidDel="00000000" w:rsidR="00000000" w:rsidRPr="00000000">
          <w:rPr>
            <w:rFonts w:ascii="Times New Roman" w:cs="Times New Roman" w:eastAsia="Times New Roman" w:hAnsi="Times New Roman"/>
            <w:color w:val="0000ff"/>
            <w:sz w:val="24"/>
            <w:szCs w:val="24"/>
            <w:u w:val="single"/>
            <w:rtl w:val="0"/>
          </w:rPr>
          <w:t xml:space="preserve">https://dialnet.unirioja.es/servlet/articulo?codigo=7619396</w:t>
        </w:r>
      </w:hyperlink>
      <w:r w:rsidDel="00000000" w:rsidR="00000000" w:rsidRPr="00000000">
        <w:rPr>
          <w:rtl w:val="0"/>
        </w:rPr>
      </w:r>
    </w:p>
    <w:p w:rsidR="00000000" w:rsidDel="00000000" w:rsidP="00000000" w:rsidRDefault="00000000" w:rsidRPr="00000000" w14:paraId="0000009B">
      <w:pPr>
        <w:tabs>
          <w:tab w:val="left" w:leader="none" w:pos="360"/>
          <w:tab w:val="left" w:leader="none" w:pos="630"/>
        </w:tabs>
        <w:spacing w:after="0" w:line="36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Ministerio de Educación y Formación Profesional (2019) Estadística Internacional de los Sistemas de Educación y Formación-Cuestionario UNESCO/OCDE/Eurostat.</w:t>
      </w:r>
    </w:p>
    <w:p w:rsidR="00000000" w:rsidDel="00000000" w:rsidP="00000000" w:rsidRDefault="00000000" w:rsidRPr="00000000" w14:paraId="0000009C">
      <w:pPr>
        <w:tabs>
          <w:tab w:val="left" w:leader="none" w:pos="360"/>
          <w:tab w:val="left" w:leader="none" w:pos="630"/>
        </w:tabs>
        <w:spacing w:after="0" w:line="36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Ministerio de Educación Superior (2016) Resolución Nº 85 Para la aplicación de las categorías docentes de la educación superior. La Habana. Cuba.</w:t>
      </w:r>
    </w:p>
    <w:p w:rsidR="00000000" w:rsidDel="00000000" w:rsidP="00000000" w:rsidRDefault="00000000" w:rsidRPr="00000000" w14:paraId="0000009D">
      <w:pPr>
        <w:tabs>
          <w:tab w:val="left" w:leader="none" w:pos="360"/>
          <w:tab w:val="left" w:leader="none" w:pos="630"/>
        </w:tabs>
        <w:spacing w:after="0" w:line="360" w:lineRule="auto"/>
        <w:ind w:left="3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Ministerio de Educación Superior (2022) Proyecto Estratégico del Ministerio de Educación Superior de Cuba para el periodo 2022-2026. La Habana. Cuba.</w:t>
      </w:r>
    </w:p>
    <w:p w:rsidR="00000000" w:rsidDel="00000000" w:rsidP="00000000" w:rsidRDefault="00000000" w:rsidRPr="00000000" w14:paraId="0000009E">
      <w:pPr>
        <w:tabs>
          <w:tab w:val="left" w:leader="none" w:pos="360"/>
          <w:tab w:val="left" w:leader="none" w:pos="630"/>
        </w:tabs>
        <w:spacing w:after="0" w:line="360" w:lineRule="auto"/>
        <w:ind w:left="36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Nuñez Cruz, C. R., Villacreces Álvarez, G., y Nuñez Peña, C. R. (2023). Perfeccionamiento de la estimulación a docentes en universidades: experiencias en universidades de Cuba y Ecuador. </w:t>
      </w:r>
      <w:r w:rsidDel="00000000" w:rsidR="00000000" w:rsidRPr="00000000">
        <w:rPr>
          <w:rFonts w:ascii="Times New Roman" w:cs="Times New Roman" w:eastAsia="Times New Roman" w:hAnsi="Times New Roman"/>
          <w:i w:val="1"/>
          <w:sz w:val="24"/>
          <w:szCs w:val="24"/>
          <w:highlight w:val="white"/>
          <w:rtl w:val="0"/>
        </w:rPr>
        <w:t xml:space="preserve">RILCO DS: Revista de Desarrollo sustentable, Negocios, Emprendimiento y Educación</w:t>
      </w:r>
      <w:r w:rsidDel="00000000" w:rsidR="00000000" w:rsidRPr="00000000">
        <w:rPr>
          <w:rFonts w:ascii="Times New Roman" w:cs="Times New Roman" w:eastAsia="Times New Roman" w:hAnsi="Times New Roman"/>
          <w:sz w:val="24"/>
          <w:szCs w:val="24"/>
          <w:highlight w:val="white"/>
          <w:rtl w:val="0"/>
        </w:rPr>
        <w:t xml:space="preserve">, 5(49), 51-66.</w:t>
      </w:r>
      <w:r w:rsidDel="00000000" w:rsidR="00000000" w:rsidRPr="00000000">
        <w:rPr>
          <w:rtl w:val="0"/>
        </w:rPr>
        <w:t xml:space="preserve"> </w:t>
      </w:r>
      <w:hyperlink r:id="rId22">
        <w:r w:rsidDel="00000000" w:rsidR="00000000" w:rsidRPr="00000000">
          <w:rPr>
            <w:rFonts w:ascii="Times New Roman" w:cs="Times New Roman" w:eastAsia="Times New Roman" w:hAnsi="Times New Roman"/>
            <w:color w:val="0000ff"/>
            <w:sz w:val="24"/>
            <w:szCs w:val="24"/>
            <w:highlight w:val="white"/>
            <w:u w:val="single"/>
            <w:rtl w:val="0"/>
          </w:rPr>
          <w:t xml:space="preserve">https://dialnet.unirioja.es/servlet/articulo?codigo=9213263</w:t>
        </w:r>
      </w:hyperlink>
      <w:r w:rsidDel="00000000" w:rsidR="00000000" w:rsidRPr="00000000">
        <w:rPr>
          <w:rtl w:val="0"/>
        </w:rPr>
      </w:r>
    </w:p>
    <w:p w:rsidR="00000000" w:rsidDel="00000000" w:rsidP="00000000" w:rsidRDefault="00000000" w:rsidRPr="00000000" w14:paraId="0000009F">
      <w:pPr>
        <w:tabs>
          <w:tab w:val="left" w:leader="none" w:pos="360"/>
          <w:tab w:val="left" w:leader="none" w:pos="630"/>
        </w:tabs>
        <w:spacing w:after="0" w:line="360" w:lineRule="auto"/>
        <w:ind w:left="360" w:hanging="360"/>
        <w:jc w:val="both"/>
        <w:rPr/>
      </w:pPr>
      <w:r w:rsidDel="00000000" w:rsidR="00000000" w:rsidRPr="00000000">
        <w:rPr>
          <w:rFonts w:ascii="Times New Roman" w:cs="Times New Roman" w:eastAsia="Times New Roman" w:hAnsi="Times New Roman"/>
          <w:sz w:val="24"/>
          <w:szCs w:val="24"/>
          <w:highlight w:val="white"/>
          <w:rtl w:val="0"/>
        </w:rPr>
        <w:t xml:space="preserve">Rodríguez Santana, M. M., Pérez Campaña, M., y Ortiz Pérez, A.  (2023). Procedimiento para la evaluación de la planeación estratégica en universidades cubanas. </w:t>
      </w:r>
      <w:r w:rsidDel="00000000" w:rsidR="00000000" w:rsidRPr="00000000">
        <w:rPr>
          <w:rFonts w:ascii="Times New Roman" w:cs="Times New Roman" w:eastAsia="Times New Roman" w:hAnsi="Times New Roman"/>
          <w:i w:val="1"/>
          <w:sz w:val="24"/>
          <w:szCs w:val="24"/>
          <w:highlight w:val="white"/>
          <w:rtl w:val="0"/>
        </w:rPr>
        <w:t xml:space="preserve">Estrategia y Gestión Universitaria</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highlight w:val="white"/>
          <w:rtl w:val="0"/>
        </w:rPr>
        <w:t xml:space="preserve">11</w:t>
      </w:r>
      <w:r w:rsidDel="00000000" w:rsidR="00000000" w:rsidRPr="00000000">
        <w:rPr>
          <w:rFonts w:ascii="Times New Roman" w:cs="Times New Roman" w:eastAsia="Times New Roman" w:hAnsi="Times New Roman"/>
          <w:sz w:val="24"/>
          <w:szCs w:val="24"/>
          <w:highlight w:val="white"/>
          <w:rtl w:val="0"/>
        </w:rPr>
        <w:t xml:space="preserve">(2), 53-71.</w:t>
      </w:r>
      <w:r w:rsidDel="00000000" w:rsidR="00000000" w:rsidRPr="00000000">
        <w:rPr>
          <w:rFonts w:ascii="Times New Roman" w:cs="Times New Roman" w:eastAsia="Times New Roman" w:hAnsi="Times New Roman"/>
          <w:sz w:val="24"/>
          <w:szCs w:val="24"/>
          <w:rtl w:val="0"/>
        </w:rPr>
        <w:t xml:space="preserve"> </w:t>
      </w:r>
      <w:hyperlink r:id="rId23">
        <w:r w:rsidDel="00000000" w:rsidR="00000000" w:rsidRPr="00000000">
          <w:rPr>
            <w:rFonts w:ascii="Times New Roman" w:cs="Times New Roman" w:eastAsia="Times New Roman" w:hAnsi="Times New Roman"/>
            <w:color w:val="0000ff"/>
            <w:sz w:val="24"/>
            <w:szCs w:val="24"/>
            <w:u w:val="single"/>
            <w:rtl w:val="0"/>
          </w:rPr>
          <w:t xml:space="preserve">https://doi.org/10.5281/zenodo.8145087</w:t>
        </w:r>
      </w:hyperlink>
      <w:r w:rsidDel="00000000" w:rsidR="00000000" w:rsidRPr="00000000">
        <w:rPr>
          <w:rtl w:val="0"/>
        </w:rPr>
      </w:r>
    </w:p>
    <w:p w:rsidR="00000000" w:rsidDel="00000000" w:rsidP="00000000" w:rsidRDefault="00000000" w:rsidRPr="00000000" w14:paraId="000000A0">
      <w:pPr>
        <w:tabs>
          <w:tab w:val="left" w:leader="none" w:pos="360"/>
          <w:tab w:val="left" w:leader="none" w:pos="630"/>
        </w:tabs>
        <w:spacing w:after="0" w:line="360" w:lineRule="auto"/>
        <w:ind w:left="3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Trujillo Segoviano, J., (2015). Los docentes en relación al número de alumnos, retos y posibles repercusiones. Caso de la normal experimental del fuerte. </w:t>
      </w:r>
      <w:r w:rsidDel="00000000" w:rsidR="00000000" w:rsidRPr="00000000">
        <w:rPr>
          <w:rFonts w:ascii="Times New Roman" w:cs="Times New Roman" w:eastAsia="Times New Roman" w:hAnsi="Times New Roman"/>
          <w:i w:val="1"/>
          <w:sz w:val="24"/>
          <w:szCs w:val="24"/>
          <w:rtl w:val="0"/>
        </w:rPr>
        <w:t xml:space="preserve">Ra Ximhai, 11</w:t>
      </w:r>
      <w:r w:rsidDel="00000000" w:rsidR="00000000" w:rsidRPr="00000000">
        <w:rPr>
          <w:rFonts w:ascii="Times New Roman" w:cs="Times New Roman" w:eastAsia="Times New Roman" w:hAnsi="Times New Roman"/>
          <w:sz w:val="24"/>
          <w:szCs w:val="24"/>
          <w:rtl w:val="0"/>
        </w:rPr>
        <w:t xml:space="preserve">(4), 447-454.</w:t>
      </w:r>
      <w:r w:rsidDel="00000000" w:rsidR="00000000" w:rsidRPr="00000000">
        <w:rPr>
          <w:rtl w:val="0"/>
        </w:rPr>
        <w:t xml:space="preserve"> </w:t>
      </w:r>
      <w:hyperlink r:id="rId24">
        <w:r w:rsidDel="00000000" w:rsidR="00000000" w:rsidRPr="00000000">
          <w:rPr>
            <w:rFonts w:ascii="Times New Roman" w:cs="Times New Roman" w:eastAsia="Times New Roman" w:hAnsi="Times New Roman"/>
            <w:color w:val="0000ff"/>
            <w:sz w:val="24"/>
            <w:szCs w:val="24"/>
            <w:u w:val="single"/>
            <w:rtl w:val="0"/>
          </w:rPr>
          <w:t xml:space="preserve">https://dialnet.unirioja.es/servlet/articulo?codigo=7915490</w:t>
        </w:r>
      </w:hyperlink>
      <w:r w:rsidDel="00000000" w:rsidR="00000000" w:rsidRPr="00000000">
        <w:rPr>
          <w:rtl w:val="0"/>
        </w:rPr>
      </w:r>
    </w:p>
    <w:p w:rsidR="00000000" w:rsidDel="00000000" w:rsidP="00000000" w:rsidRDefault="00000000" w:rsidRPr="00000000" w14:paraId="000000A1">
      <w:pPr>
        <w:tabs>
          <w:tab w:val="left" w:leader="none" w:pos="360"/>
          <w:tab w:val="left" w:leader="none" w:pos="630"/>
        </w:tabs>
        <w:spacing w:after="60" w:before="0" w:line="240" w:lineRule="auto"/>
        <w:ind w:left="36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Conflicto de intereses</w:t>
      </w:r>
    </w:p>
    <w:p w:rsidR="00000000" w:rsidDel="00000000" w:rsidP="00000000" w:rsidRDefault="00000000" w:rsidRPr="00000000" w14:paraId="000000A2">
      <w:pPr>
        <w:tabs>
          <w:tab w:val="left" w:leader="none" w:pos="360"/>
          <w:tab w:val="left" w:leader="none" w:pos="630"/>
        </w:tabs>
        <w:spacing w:after="60" w:before="0" w:line="240" w:lineRule="auto"/>
        <w:ind w:left="36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Los autores declaran que no existe conflicto de intereses</w:t>
      </w:r>
    </w:p>
    <w:p w:rsidR="00000000" w:rsidDel="00000000" w:rsidP="00000000" w:rsidRDefault="00000000" w:rsidRPr="00000000" w14:paraId="000000A3">
      <w:pPr>
        <w:tabs>
          <w:tab w:val="left" w:leader="none" w:pos="360"/>
          <w:tab w:val="left" w:leader="none" w:pos="630"/>
        </w:tabs>
        <w:spacing w:after="60" w:before="0" w:line="240" w:lineRule="auto"/>
        <w:jc w:val="both"/>
        <w:rPr>
          <w:rFonts w:ascii="Times New Roman" w:cs="Times New Roman" w:eastAsia="Times New Roman" w:hAnsi="Times New Roman"/>
          <w:b w:val="1"/>
          <w:sz w:val="20"/>
          <w:szCs w:val="20"/>
          <w:highlight w:val="yellow"/>
        </w:rPr>
      </w:pPr>
      <w:r w:rsidDel="00000000" w:rsidR="00000000" w:rsidRPr="00000000">
        <w:rPr>
          <w:rFonts w:ascii="Times New Roman" w:cs="Times New Roman" w:eastAsia="Times New Roman" w:hAnsi="Times New Roman"/>
          <w:b w:val="1"/>
          <w:sz w:val="20"/>
          <w:szCs w:val="20"/>
          <w:rtl w:val="0"/>
        </w:rPr>
        <w:t xml:space="preserve">Declaración de contribución de autoría </w:t>
      </w:r>
      <w:r w:rsidDel="00000000" w:rsidR="00000000" w:rsidRPr="00000000">
        <w:rPr>
          <w:rFonts w:ascii="Times New Roman" w:cs="Times New Roman" w:eastAsia="Times New Roman" w:hAnsi="Times New Roman"/>
          <w:b w:val="1"/>
          <w:sz w:val="20"/>
          <w:szCs w:val="20"/>
          <w:highlight w:val="yellow"/>
          <w:rtl w:val="0"/>
        </w:rPr>
        <w:t xml:space="preserve">(Aquí debe de poner lo que hizo cada uno, en la plantilla se explica)</w:t>
      </w:r>
    </w:p>
    <w:p w:rsidR="00000000" w:rsidDel="00000000" w:rsidP="00000000" w:rsidRDefault="00000000" w:rsidRPr="00000000" w14:paraId="000000A4">
      <w:pPr>
        <w:spacing w:after="6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Carlos Rafael Nuñez Cruz:</w:t>
      </w:r>
    </w:p>
    <w:p w:rsidR="00000000" w:rsidDel="00000000" w:rsidP="00000000" w:rsidRDefault="00000000" w:rsidRPr="00000000" w14:paraId="000000A5">
      <w:pPr>
        <w:spacing w:after="6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Marisol Pérez Campaña:</w:t>
      </w:r>
    </w:p>
    <w:p w:rsidR="00000000" w:rsidDel="00000000" w:rsidP="00000000" w:rsidRDefault="00000000" w:rsidRPr="00000000" w14:paraId="000000A6">
      <w:pPr>
        <w:spacing w:after="6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Carlos Rafael Nuñez Peña: </w:t>
      </w:r>
    </w:p>
    <w:p w:rsidR="00000000" w:rsidDel="00000000" w:rsidP="00000000" w:rsidRDefault="00000000" w:rsidRPr="00000000" w14:paraId="000000A7">
      <w:pPr>
        <w:spacing w:after="6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Alejandro David Tamayo De la Rosa:</w:t>
      </w:r>
    </w:p>
    <w:p w:rsidR="00000000" w:rsidDel="00000000" w:rsidP="00000000" w:rsidRDefault="00000000" w:rsidRPr="00000000" w14:paraId="000000A8">
      <w:pPr>
        <w:spacing w:after="6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tabs>
          <w:tab w:val="left" w:leader="none" w:pos="360"/>
          <w:tab w:val="left" w:leader="none" w:pos="630"/>
        </w:tabs>
        <w:spacing w:after="60" w:before="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AA">
      <w:pPr>
        <w:tabs>
          <w:tab w:val="left" w:leader="none" w:pos="360"/>
          <w:tab w:val="left" w:leader="none" w:pos="630"/>
        </w:tabs>
        <w:spacing w:after="0" w:line="360" w:lineRule="auto"/>
        <w:ind w:left="360" w:hanging="360"/>
        <w:jc w:val="both"/>
        <w:rPr>
          <w:rFonts w:ascii="Times New Roman" w:cs="Times New Roman" w:eastAsia="Times New Roman" w:hAnsi="Times New Roman"/>
          <w:sz w:val="24"/>
          <w:szCs w:val="24"/>
        </w:rPr>
      </w:pPr>
      <w:r w:rsidDel="00000000" w:rsidR="00000000" w:rsidRPr="00000000">
        <w:rPr>
          <w:rtl w:val="0"/>
        </w:rPr>
      </w:r>
    </w:p>
    <w:sectPr>
      <w:type w:val="continuous"/>
      <w:pgSz w:h="15840" w:w="12240" w:orient="portrait"/>
      <w:pgMar w:bottom="1418" w:top="1135" w:left="1418" w:right="1418"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Arial"/>
  <w:font w:name="Georgia"/>
  <w:font w:name="Times New Roman"/>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B">
    <w:pPr>
      <w:tabs>
        <w:tab w:val="center" w:leader="none" w:pos="4252"/>
        <w:tab w:val="right" w:leader="none" w:pos="8504"/>
      </w:tabs>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D">
    <w:pPr>
      <w:tabs>
        <w:tab w:val="center" w:leader="none" w:pos="4252"/>
        <w:tab w:val="right" w:leader="none" w:pos="8504"/>
      </w:tabs>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Luz. (). e, año-año, 2024. Edición xxx. III Época. ISSN 1814-151X</w:t>
      <w:tab/>
    </w:r>
    <w:r w:rsidDel="00000000" w:rsidR="00000000" w:rsidRPr="00000000">
      <w:rPr>
        <w:rFonts w:ascii="Times New Roman" w:cs="Times New Roman" w:eastAsia="Times New Roman" w:hAnsi="Times New Roman"/>
        <w:sz w:val="20"/>
        <w:szCs w:val="20"/>
      </w:rPr>
      <w:drawing>
        <wp:inline distB="0" distT="0" distL="0" distR="0">
          <wp:extent cx="695960" cy="293370"/>
          <wp:effectExtent b="0" l="0" r="0" t="0"/>
          <wp:docPr id="3"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95960" cy="293370"/>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tabs>
        <w:tab w:val="center" w:leader="none" w:pos="4252"/>
        <w:tab w:val="right" w:leader="none" w:pos="8504"/>
      </w:tabs>
      <w:spacing w:after="0" w:line="240" w:lineRule="auto"/>
      <w:rPr>
        <w:rFonts w:ascii="Times New Roman" w:cs="Times New Roman" w:eastAsia="Times New Roman" w:hAnsi="Times New Roman"/>
        <w:sz w:val="20"/>
        <w:szCs w:val="20"/>
      </w:rPr>
    </w:pPr>
    <w:hyperlink r:id="rId2">
      <w:r w:rsidDel="00000000" w:rsidR="00000000" w:rsidRPr="00000000">
        <w:rPr>
          <w:rFonts w:ascii="Times New Roman" w:cs="Times New Roman" w:eastAsia="Times New Roman" w:hAnsi="Times New Roman"/>
          <w:color w:val="1155cc"/>
          <w:sz w:val="20"/>
          <w:szCs w:val="20"/>
          <w:u w:val="single"/>
          <w:rtl w:val="0"/>
        </w:rPr>
        <w:t xml:space="preserve">https://luz.uho.edu.cu</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AF">
    <w:pPr>
      <w:tabs>
        <w:tab w:val="center" w:leader="none" w:pos="4252"/>
        <w:tab w:val="right" w:leader="none" w:pos="8504"/>
      </w:tabs>
      <w:spacing w:after="0" w:line="240" w:lineRule="auto"/>
      <w:rPr/>
    </w:pPr>
    <w:r w:rsidDel="00000000" w:rsidR="00000000" w:rsidRPr="00000000">
      <w:rPr>
        <w:rFonts w:ascii="Times New Roman" w:cs="Times New Roman" w:eastAsia="Times New Roman" w:hAnsi="Times New Roman"/>
        <w:sz w:val="20"/>
        <w:szCs w:val="20"/>
        <w:rtl w:val="0"/>
      </w:rPr>
      <w:t xml:space="preserve">_____________________________________________________________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mbria" w:cs="Cambria" w:eastAsia="Cambria" w:hAnsi="Cambria"/>
      <w:color w:val="365f91"/>
      <w:sz w:val="32"/>
      <w:szCs w:val="32"/>
    </w:rPr>
  </w:style>
  <w:style w:type="paragraph" w:styleId="Heading2">
    <w:name w:val="heading 2"/>
    <w:basedOn w:val="Normal"/>
    <w:next w:val="Normal"/>
    <w:pPr>
      <w:keepNext w:val="1"/>
      <w:spacing w:after="60" w:before="240" w:lineRule="auto"/>
    </w:pPr>
    <w:rPr>
      <w:rFonts w:ascii="Calibri" w:cs="Calibri" w:eastAsia="Calibri" w:hAnsi="Calibri"/>
      <w:b w:val="1"/>
      <w:i w:val="1"/>
      <w:sz w:val="28"/>
      <w:szCs w:val="28"/>
    </w:rPr>
  </w:style>
  <w:style w:type="paragraph" w:styleId="Heading3">
    <w:name w:val="heading 3"/>
    <w:basedOn w:val="Normal"/>
    <w:next w:val="Normal"/>
    <w:pPr>
      <w:keepNext w:val="1"/>
      <w:spacing w:after="60" w:before="240" w:line="240" w:lineRule="auto"/>
    </w:pPr>
    <w:rPr>
      <w:rFonts w:ascii="Arial" w:cs="Arial" w:eastAsia="Arial" w:hAnsi="Arial"/>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go.gale.com/ps/i.do?id=GALE%7CA146742537&amp;sid=googleScholar&amp;v=2.1&amp;it=r&amp;linkaccess=abs&amp;issn=17265851&amp;p=IFME&amp;sw=w&amp;userGroupName=anon%7Ef0859da1&amp;aty=open-web-entry" TargetMode="External"/><Relationship Id="rId11" Type="http://schemas.openxmlformats.org/officeDocument/2006/relationships/hyperlink" Target="https://orcid.org/0000-0002-5170-0969" TargetMode="External"/><Relationship Id="rId22" Type="http://schemas.openxmlformats.org/officeDocument/2006/relationships/hyperlink" Target="https://dialnet.unirioja.es/servlet/articulo?codigo=9213263" TargetMode="External"/><Relationship Id="rId10" Type="http://schemas.openxmlformats.org/officeDocument/2006/relationships/hyperlink" Target="https://orcid.org/0000-0002-5170-0969" TargetMode="External"/><Relationship Id="rId21" Type="http://schemas.openxmlformats.org/officeDocument/2006/relationships/hyperlink" Target="https://dialnet.unirioja.es/servlet/articulo?codigo=7619396" TargetMode="External"/><Relationship Id="rId13" Type="http://schemas.openxmlformats.org/officeDocument/2006/relationships/header" Target="header1.xml"/><Relationship Id="rId24" Type="http://schemas.openxmlformats.org/officeDocument/2006/relationships/hyperlink" Target="https://dialnet.unirioja.es/servlet/articulo?codigo=7915490" TargetMode="External"/><Relationship Id="rId12" Type="http://schemas.openxmlformats.org/officeDocument/2006/relationships/hyperlink" Target="mailto:carlos.nunez@uho.edu.cu" TargetMode="External"/><Relationship Id="rId23" Type="http://schemas.openxmlformats.org/officeDocument/2006/relationships/hyperlink" Target="https://doi.org/10.5281/zenodo.814508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orcid.org/0000-0002-5170-0969" TargetMode="External"/><Relationship Id="rId15" Type="http://schemas.openxmlformats.org/officeDocument/2006/relationships/footer" Target="footer1.xml"/><Relationship Id="rId14" Type="http://schemas.openxmlformats.org/officeDocument/2006/relationships/header" Target="header2.xml"/><Relationship Id="rId17" Type="http://schemas.openxmlformats.org/officeDocument/2006/relationships/image" Target="media/image1.png"/><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hyperlink" Target="https://dialnet.unirioja.es/servlet/articulo?codigo=8384709" TargetMode="External"/><Relationship Id="rId6" Type="http://schemas.openxmlformats.org/officeDocument/2006/relationships/hyperlink" Target="https://orcid.org/0000-0002-5170-0969" TargetMode="External"/><Relationship Id="rId18" Type="http://schemas.openxmlformats.org/officeDocument/2006/relationships/hyperlink" Target="https://www.researchgate.net/publication/336779067" TargetMode="External"/><Relationship Id="rId7" Type="http://schemas.openxmlformats.org/officeDocument/2006/relationships/hyperlink" Target="https://orcid.org/0000-0001-8843-9891" TargetMode="External"/><Relationship Id="rId8" Type="http://schemas.openxmlformats.org/officeDocument/2006/relationships/hyperlink" Target="https://orcid.org/0000-0003-2436-797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hyperlink" Target="https://luz.uho.edu.c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